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E8" w:rsidRDefault="009F0EE8" w:rsidP="009F0EE8">
      <w:pPr>
        <w:jc w:val="center"/>
        <w:rPr>
          <w:rFonts w:asciiTheme="majorHAnsi" w:hAnsiTheme="majorHAnsi"/>
          <w:sz w:val="36"/>
          <w:szCs w:val="36"/>
        </w:rPr>
      </w:pPr>
      <w:r>
        <w:rPr>
          <w:rFonts w:asciiTheme="majorHAnsi" w:hAnsiTheme="majorHAnsi"/>
          <w:sz w:val="36"/>
          <w:szCs w:val="36"/>
        </w:rPr>
        <w:t xml:space="preserve">RABBI BROWN’S EXPLORATION OF THE QUESTION AS TO WHETHER </w:t>
      </w:r>
      <w:r w:rsidRPr="00D01960">
        <w:rPr>
          <w:rFonts w:asciiTheme="majorHAnsi" w:hAnsiTheme="majorHAnsi"/>
          <w:strike/>
          <w:sz w:val="36"/>
          <w:szCs w:val="36"/>
        </w:rPr>
        <w:t>RABBIS</w:t>
      </w:r>
      <w:r>
        <w:rPr>
          <w:rFonts w:asciiTheme="majorHAnsi" w:hAnsiTheme="majorHAnsi"/>
          <w:sz w:val="36"/>
          <w:szCs w:val="36"/>
        </w:rPr>
        <w:t xml:space="preserve"> </w:t>
      </w:r>
      <w:r w:rsidR="00D01960">
        <w:rPr>
          <w:rFonts w:asciiTheme="majorHAnsi" w:hAnsiTheme="majorHAnsi"/>
          <w:sz w:val="36"/>
          <w:szCs w:val="36"/>
        </w:rPr>
        <w:t xml:space="preserve">HE </w:t>
      </w:r>
      <w:r>
        <w:rPr>
          <w:rFonts w:asciiTheme="majorHAnsi" w:hAnsiTheme="majorHAnsi"/>
          <w:sz w:val="36"/>
          <w:szCs w:val="36"/>
        </w:rPr>
        <w:t>SHOULD OFFICIATE AT INTERFAITH WEDDING CEREMONIES</w:t>
      </w:r>
      <w:r w:rsidR="00D01960">
        <w:rPr>
          <w:rFonts w:asciiTheme="majorHAnsi" w:hAnsiTheme="majorHAnsi"/>
          <w:sz w:val="36"/>
          <w:szCs w:val="36"/>
        </w:rPr>
        <w:t>: SELECTED REFERENCES FROM TODAY’S PRESENTATION</w:t>
      </w:r>
    </w:p>
    <w:p w:rsidR="009F0EE8" w:rsidRDefault="009F0EE8" w:rsidP="009F0EE8">
      <w:pPr>
        <w:jc w:val="center"/>
        <w:rPr>
          <w:rFonts w:asciiTheme="majorHAnsi" w:hAnsiTheme="majorHAnsi"/>
          <w:sz w:val="36"/>
          <w:szCs w:val="36"/>
        </w:rPr>
      </w:pPr>
    </w:p>
    <w:p w:rsidR="009F0EE8" w:rsidRPr="00D55CC0" w:rsidRDefault="001C7C93" w:rsidP="00D55CC0">
      <w:pPr>
        <w:jc w:val="center"/>
        <w:rPr>
          <w:rFonts w:asciiTheme="majorHAnsi" w:hAnsiTheme="majorHAnsi"/>
          <w:sz w:val="20"/>
          <w:szCs w:val="20"/>
        </w:rPr>
      </w:pPr>
      <w:r>
        <w:rPr>
          <w:rFonts w:asciiTheme="majorHAnsi" w:hAnsiTheme="majorHAnsi"/>
          <w:sz w:val="20"/>
          <w:szCs w:val="20"/>
        </w:rPr>
        <w:t>Session 1</w:t>
      </w:r>
      <w:r w:rsidR="009F0EE8" w:rsidRPr="00D55CC0">
        <w:rPr>
          <w:rFonts w:asciiTheme="majorHAnsi" w:hAnsiTheme="majorHAnsi"/>
          <w:sz w:val="20"/>
          <w:szCs w:val="20"/>
        </w:rPr>
        <w:t>: Can/Should Jewish Law Change Over Time?</w:t>
      </w:r>
      <w:r w:rsidR="00D55CC0">
        <w:rPr>
          <w:rFonts w:asciiTheme="majorHAnsi" w:hAnsiTheme="majorHAnsi"/>
          <w:sz w:val="20"/>
          <w:szCs w:val="20"/>
        </w:rPr>
        <w:t>, 1/6/13</w:t>
      </w:r>
    </w:p>
    <w:p w:rsidR="009F0EE8" w:rsidRPr="001C7C93" w:rsidRDefault="009F0EE8" w:rsidP="009F0EE8">
      <w:pPr>
        <w:jc w:val="center"/>
        <w:rPr>
          <w:rFonts w:asciiTheme="majorHAnsi" w:hAnsiTheme="majorHAnsi"/>
          <w:sz w:val="20"/>
          <w:szCs w:val="20"/>
        </w:rPr>
      </w:pPr>
      <w:r w:rsidRPr="001C7C93">
        <w:rPr>
          <w:rFonts w:asciiTheme="majorHAnsi" w:hAnsiTheme="majorHAnsi"/>
          <w:sz w:val="20"/>
          <w:szCs w:val="20"/>
        </w:rPr>
        <w:t xml:space="preserve">Session 2: Interfaith Marriage in Jewish </w:t>
      </w:r>
      <w:r w:rsidR="00D55CC0" w:rsidRPr="001C7C93">
        <w:rPr>
          <w:rFonts w:asciiTheme="majorHAnsi" w:hAnsiTheme="majorHAnsi"/>
          <w:sz w:val="20"/>
          <w:szCs w:val="20"/>
        </w:rPr>
        <w:t>History</w:t>
      </w:r>
      <w:r w:rsidR="001C7C93">
        <w:rPr>
          <w:rFonts w:asciiTheme="majorHAnsi" w:hAnsiTheme="majorHAnsi"/>
          <w:sz w:val="20"/>
          <w:szCs w:val="20"/>
        </w:rPr>
        <w:t>, 2/10/13</w:t>
      </w:r>
    </w:p>
    <w:p w:rsidR="009F0EE8" w:rsidRPr="001C7C93" w:rsidRDefault="009F0EE8" w:rsidP="009F0EE8">
      <w:pPr>
        <w:jc w:val="center"/>
        <w:rPr>
          <w:rFonts w:asciiTheme="majorHAnsi" w:hAnsiTheme="majorHAnsi"/>
          <w:b/>
          <w:sz w:val="36"/>
          <w:szCs w:val="36"/>
        </w:rPr>
      </w:pPr>
      <w:r w:rsidRPr="001C7C93">
        <w:rPr>
          <w:rFonts w:asciiTheme="majorHAnsi" w:hAnsiTheme="majorHAnsi"/>
          <w:b/>
          <w:sz w:val="36"/>
          <w:szCs w:val="36"/>
        </w:rPr>
        <w:t xml:space="preserve">Session 3: The </w:t>
      </w:r>
      <w:r w:rsidR="001C7C93">
        <w:rPr>
          <w:rFonts w:asciiTheme="majorHAnsi" w:hAnsiTheme="majorHAnsi"/>
          <w:b/>
          <w:sz w:val="36"/>
          <w:szCs w:val="36"/>
        </w:rPr>
        <w:t>Role of Non-Jews In Jewish Ritual</w:t>
      </w:r>
    </w:p>
    <w:p w:rsidR="009F0EE8" w:rsidRPr="009F0EE8" w:rsidRDefault="009F0EE8" w:rsidP="009F0EE8">
      <w:pPr>
        <w:jc w:val="center"/>
        <w:rPr>
          <w:rFonts w:asciiTheme="majorHAnsi" w:hAnsiTheme="majorHAnsi"/>
          <w:sz w:val="20"/>
          <w:szCs w:val="20"/>
        </w:rPr>
      </w:pPr>
    </w:p>
    <w:p w:rsidR="00C85209" w:rsidRDefault="00C85209" w:rsidP="00D01960">
      <w:pPr>
        <w:jc w:val="left"/>
        <w:rPr>
          <w:rFonts w:asciiTheme="majorHAnsi" w:hAnsiTheme="majorHAnsi"/>
          <w:sz w:val="28"/>
          <w:szCs w:val="28"/>
        </w:rPr>
      </w:pPr>
    </w:p>
    <w:p w:rsidR="00D01960" w:rsidRPr="00B814F7" w:rsidRDefault="00D01960" w:rsidP="00D01960">
      <w:pPr>
        <w:pStyle w:val="ListParagraph"/>
        <w:numPr>
          <w:ilvl w:val="0"/>
          <w:numId w:val="1"/>
        </w:numPr>
        <w:jc w:val="left"/>
        <w:rPr>
          <w:rFonts w:asciiTheme="majorHAnsi" w:hAnsiTheme="majorHAnsi"/>
          <w:sz w:val="28"/>
          <w:szCs w:val="28"/>
        </w:rPr>
      </w:pPr>
      <w:r w:rsidRPr="00B814F7">
        <w:rPr>
          <w:rFonts w:asciiTheme="majorHAnsi" w:hAnsiTheme="majorHAnsi"/>
          <w:i/>
          <w:sz w:val="28"/>
          <w:szCs w:val="28"/>
        </w:rPr>
        <w:t>Rabbis Talk About Intermarriage</w:t>
      </w:r>
      <w:r w:rsidRPr="00B814F7">
        <w:rPr>
          <w:rFonts w:asciiTheme="majorHAnsi" w:hAnsiTheme="majorHAnsi"/>
          <w:sz w:val="28"/>
          <w:szCs w:val="28"/>
        </w:rPr>
        <w:t xml:space="preserve"> by Gary Tobin and Katherine Simon (1999)</w:t>
      </w:r>
    </w:p>
    <w:p w:rsidR="001C7C93" w:rsidRPr="00B814F7" w:rsidRDefault="001C7C93" w:rsidP="001C7C93">
      <w:pPr>
        <w:pStyle w:val="ListParagraph"/>
        <w:jc w:val="left"/>
        <w:rPr>
          <w:rFonts w:asciiTheme="majorHAnsi" w:hAnsiTheme="majorHAnsi"/>
          <w:sz w:val="28"/>
          <w:szCs w:val="28"/>
        </w:rPr>
      </w:pPr>
    </w:p>
    <w:p w:rsidR="00B814F7" w:rsidRDefault="00B814F7" w:rsidP="00B814F7">
      <w:pPr>
        <w:pStyle w:val="ListParagraph"/>
        <w:numPr>
          <w:ilvl w:val="0"/>
          <w:numId w:val="1"/>
        </w:numPr>
        <w:rPr>
          <w:rFonts w:asciiTheme="majorHAnsi" w:hAnsiTheme="majorHAnsi"/>
          <w:b/>
          <w:sz w:val="28"/>
          <w:szCs w:val="28"/>
        </w:rPr>
      </w:pPr>
      <w:r w:rsidRPr="00B814F7">
        <w:rPr>
          <w:rFonts w:asciiTheme="majorHAnsi" w:hAnsiTheme="majorHAnsi"/>
          <w:sz w:val="28"/>
          <w:szCs w:val="28"/>
        </w:rPr>
        <w:t>You shall not intermarry with them; do not give your daughters to their sons or take their daughters for your sons.</w:t>
      </w:r>
      <w:r w:rsidRPr="00B814F7">
        <w:rPr>
          <w:rFonts w:asciiTheme="majorHAnsi" w:hAnsiTheme="majorHAnsi"/>
          <w:sz w:val="28"/>
          <w:szCs w:val="28"/>
        </w:rPr>
        <w:t xml:space="preserve"> </w:t>
      </w:r>
      <w:r w:rsidRPr="00B814F7">
        <w:rPr>
          <w:rFonts w:asciiTheme="majorHAnsi" w:hAnsiTheme="majorHAnsi"/>
          <w:sz w:val="28"/>
          <w:szCs w:val="28"/>
        </w:rPr>
        <w:t>For they will turn your children away from Me to worship other gods, and the Eternal One’s anger will flare against you, promptly wiping you out.”</w:t>
      </w:r>
      <w:r w:rsidRPr="00B814F7">
        <w:rPr>
          <w:rFonts w:asciiTheme="majorHAnsi" w:hAnsiTheme="majorHAnsi"/>
          <w:sz w:val="28"/>
          <w:szCs w:val="28"/>
        </w:rPr>
        <w:t xml:space="preserve"> </w:t>
      </w:r>
      <w:r w:rsidRPr="00B814F7">
        <w:rPr>
          <w:rFonts w:asciiTheme="majorHAnsi" w:hAnsiTheme="majorHAnsi"/>
          <w:b/>
          <w:sz w:val="28"/>
          <w:szCs w:val="28"/>
        </w:rPr>
        <w:t>Deuteronomy 7:3-4</w:t>
      </w:r>
    </w:p>
    <w:p w:rsidR="00B814F7" w:rsidRPr="00B814F7" w:rsidRDefault="00B814F7" w:rsidP="00B814F7">
      <w:pPr>
        <w:pStyle w:val="ListParagraph"/>
        <w:rPr>
          <w:rFonts w:asciiTheme="majorHAnsi" w:hAnsiTheme="majorHAnsi"/>
          <w:b/>
          <w:sz w:val="28"/>
          <w:szCs w:val="28"/>
        </w:rPr>
      </w:pPr>
    </w:p>
    <w:p w:rsidR="00B814F7" w:rsidRDefault="00B814F7" w:rsidP="00B814F7">
      <w:pPr>
        <w:pStyle w:val="ListParagraph"/>
        <w:numPr>
          <w:ilvl w:val="0"/>
          <w:numId w:val="1"/>
        </w:numPr>
        <w:rPr>
          <w:rFonts w:asciiTheme="majorHAnsi" w:hAnsiTheme="majorHAnsi"/>
          <w:b/>
          <w:sz w:val="28"/>
          <w:szCs w:val="28"/>
        </w:rPr>
      </w:pPr>
      <w:r w:rsidRPr="00B814F7">
        <w:rPr>
          <w:rFonts w:asciiTheme="majorHAnsi" w:hAnsiTheme="majorHAnsi"/>
          <w:sz w:val="28"/>
          <w:szCs w:val="28"/>
        </w:rPr>
        <w:t>She [the Israelites] lusted for concubinage with them, whose sexual members were like those of asses and whose organs were like those of stallions.</w:t>
      </w:r>
      <w:r>
        <w:rPr>
          <w:rFonts w:asciiTheme="majorHAnsi" w:hAnsiTheme="majorHAnsi"/>
          <w:sz w:val="28"/>
          <w:szCs w:val="28"/>
        </w:rPr>
        <w:t xml:space="preserve"> </w:t>
      </w:r>
      <w:r>
        <w:rPr>
          <w:rFonts w:asciiTheme="majorHAnsi" w:hAnsiTheme="majorHAnsi"/>
          <w:b/>
          <w:sz w:val="28"/>
          <w:szCs w:val="28"/>
        </w:rPr>
        <w:t>Ezekiel 23:20</w:t>
      </w:r>
    </w:p>
    <w:p w:rsidR="00B814F7" w:rsidRPr="00B814F7" w:rsidRDefault="00B814F7" w:rsidP="00B814F7">
      <w:pPr>
        <w:pStyle w:val="ListParagraph"/>
        <w:rPr>
          <w:rFonts w:asciiTheme="majorHAnsi" w:hAnsiTheme="majorHAnsi"/>
          <w:b/>
          <w:sz w:val="28"/>
          <w:szCs w:val="28"/>
        </w:rPr>
      </w:pPr>
    </w:p>
    <w:p w:rsidR="00B814F7" w:rsidRDefault="00B814F7" w:rsidP="00B814F7">
      <w:pPr>
        <w:pStyle w:val="ListParagraph"/>
        <w:numPr>
          <w:ilvl w:val="0"/>
          <w:numId w:val="1"/>
        </w:numPr>
        <w:rPr>
          <w:rFonts w:asciiTheme="majorHAnsi" w:hAnsiTheme="majorHAnsi"/>
          <w:b/>
          <w:sz w:val="28"/>
          <w:szCs w:val="28"/>
        </w:rPr>
      </w:pPr>
      <w:r w:rsidRPr="00B814F7">
        <w:rPr>
          <w:rFonts w:asciiTheme="majorHAnsi" w:hAnsiTheme="majorHAnsi"/>
          <w:sz w:val="28"/>
          <w:szCs w:val="28"/>
        </w:rPr>
        <w:t>The All Merciful One made his [a gentile’s] seed ownerless.</w:t>
      </w:r>
      <w:r w:rsidRPr="00B814F7">
        <w:rPr>
          <w:rFonts w:asciiTheme="majorHAnsi" w:hAnsiTheme="majorHAnsi"/>
          <w:sz w:val="28"/>
          <w:szCs w:val="28"/>
        </w:rPr>
        <w:t xml:space="preserve">  </w:t>
      </w:r>
      <w:r w:rsidRPr="00B814F7">
        <w:rPr>
          <w:rFonts w:asciiTheme="majorHAnsi" w:hAnsiTheme="majorHAnsi"/>
          <w:b/>
          <w:sz w:val="28"/>
          <w:szCs w:val="28"/>
        </w:rPr>
        <w:t>Babylonian Talmud, Yebamot 98a</w:t>
      </w:r>
    </w:p>
    <w:p w:rsidR="00B814F7" w:rsidRPr="00B814F7" w:rsidRDefault="00B814F7" w:rsidP="00B814F7">
      <w:pPr>
        <w:pStyle w:val="ListParagraph"/>
        <w:rPr>
          <w:rFonts w:asciiTheme="majorHAnsi" w:hAnsiTheme="majorHAnsi"/>
          <w:b/>
          <w:sz w:val="28"/>
          <w:szCs w:val="28"/>
        </w:rPr>
      </w:pPr>
    </w:p>
    <w:p w:rsidR="00B814F7" w:rsidRDefault="0069629E" w:rsidP="00B814F7">
      <w:pPr>
        <w:pStyle w:val="ListParagraph"/>
        <w:numPr>
          <w:ilvl w:val="0"/>
          <w:numId w:val="1"/>
        </w:numPr>
        <w:rPr>
          <w:rFonts w:asciiTheme="majorHAnsi" w:hAnsiTheme="majorHAnsi"/>
          <w:b/>
          <w:sz w:val="28"/>
          <w:szCs w:val="28"/>
        </w:rPr>
      </w:pPr>
      <w:r w:rsidRPr="0069629E">
        <w:rPr>
          <w:rFonts w:asciiTheme="majorHAnsi" w:hAnsiTheme="majorHAnsi"/>
          <w:sz w:val="28"/>
          <w:szCs w:val="28"/>
        </w:rPr>
        <w:t>We have thus found that kiddushin with her [a non-Jew] is not recognized.</w:t>
      </w:r>
      <w:r>
        <w:rPr>
          <w:rFonts w:asciiTheme="majorHAnsi" w:hAnsiTheme="majorHAnsi"/>
          <w:sz w:val="28"/>
          <w:szCs w:val="28"/>
        </w:rPr>
        <w:t xml:space="preserve">  </w:t>
      </w:r>
      <w:r>
        <w:rPr>
          <w:rFonts w:asciiTheme="majorHAnsi" w:hAnsiTheme="majorHAnsi"/>
          <w:b/>
          <w:sz w:val="28"/>
          <w:szCs w:val="28"/>
        </w:rPr>
        <w:t>Babylonian Talmud, Kiddushin 68b</w:t>
      </w:r>
    </w:p>
    <w:p w:rsidR="0069629E" w:rsidRPr="0069629E" w:rsidRDefault="0069629E" w:rsidP="0069629E">
      <w:pPr>
        <w:pStyle w:val="ListParagraph"/>
        <w:rPr>
          <w:rFonts w:asciiTheme="majorHAnsi" w:hAnsiTheme="majorHAnsi"/>
          <w:b/>
          <w:sz w:val="28"/>
          <w:szCs w:val="28"/>
        </w:rPr>
      </w:pPr>
    </w:p>
    <w:p w:rsidR="0069629E" w:rsidRPr="0069629E" w:rsidRDefault="0069629E" w:rsidP="00B814F7">
      <w:pPr>
        <w:pStyle w:val="ListParagraph"/>
        <w:numPr>
          <w:ilvl w:val="0"/>
          <w:numId w:val="1"/>
        </w:numPr>
        <w:rPr>
          <w:rFonts w:asciiTheme="majorHAnsi" w:hAnsiTheme="majorHAnsi"/>
          <w:b/>
          <w:sz w:val="28"/>
          <w:szCs w:val="28"/>
        </w:rPr>
      </w:pPr>
      <w:r w:rsidRPr="0069629E">
        <w:rPr>
          <w:rFonts w:asciiTheme="majorHAnsi" w:hAnsiTheme="majorHAnsi" w:cs="Arial"/>
          <w:color w:val="000000"/>
          <w:sz w:val="28"/>
          <w:szCs w:val="28"/>
        </w:rPr>
        <w:t>Reform Judaism and the Central Conference of American Rabbis has opposed mixed marriages. We recognize the problem as significant in every period of Jewish history. It has become more severe in 20th-century America, and, therefore we have made provisions for families of mixed marriages and their children. They are welcome in our congregations, and we continue to urge them to convert to Judaism.</w:t>
      </w:r>
      <w:r>
        <w:rPr>
          <w:rFonts w:asciiTheme="majorHAnsi" w:hAnsiTheme="majorHAnsi" w:cs="Arial"/>
          <w:color w:val="000000"/>
          <w:sz w:val="28"/>
          <w:szCs w:val="28"/>
        </w:rPr>
        <w:t xml:space="preserve"> </w:t>
      </w:r>
      <w:r>
        <w:rPr>
          <w:rFonts w:asciiTheme="majorHAnsi" w:hAnsiTheme="majorHAnsi" w:cs="Arial"/>
          <w:b/>
          <w:color w:val="000000"/>
          <w:sz w:val="28"/>
          <w:szCs w:val="28"/>
        </w:rPr>
        <w:t xml:space="preserve">CCAR Responsum: “Reform Judaism and Mixed Marriage” (1980), </w:t>
      </w:r>
      <w:hyperlink r:id="rId8" w:history="1">
        <w:r w:rsidRPr="0069629E">
          <w:rPr>
            <w:rStyle w:val="Hyperlink"/>
            <w:rFonts w:asciiTheme="majorHAnsi" w:hAnsiTheme="majorHAnsi"/>
            <w:sz w:val="28"/>
            <w:szCs w:val="28"/>
          </w:rPr>
          <w:t>http://bit.ly/13i1kPd</w:t>
        </w:r>
      </w:hyperlink>
    </w:p>
    <w:p w:rsidR="0069629E" w:rsidRPr="0069629E" w:rsidRDefault="0069629E" w:rsidP="0069629E">
      <w:pPr>
        <w:pStyle w:val="ListParagraph"/>
        <w:rPr>
          <w:rFonts w:asciiTheme="majorHAnsi" w:hAnsiTheme="majorHAnsi"/>
          <w:b/>
          <w:sz w:val="28"/>
          <w:szCs w:val="28"/>
        </w:rPr>
      </w:pPr>
    </w:p>
    <w:p w:rsidR="0069629E" w:rsidRDefault="0012387B" w:rsidP="00B814F7">
      <w:pPr>
        <w:pStyle w:val="ListParagraph"/>
        <w:numPr>
          <w:ilvl w:val="0"/>
          <w:numId w:val="1"/>
        </w:numPr>
        <w:rPr>
          <w:rFonts w:asciiTheme="majorHAnsi" w:hAnsiTheme="majorHAnsi"/>
          <w:b/>
          <w:sz w:val="28"/>
          <w:szCs w:val="28"/>
        </w:rPr>
      </w:pPr>
      <w:r w:rsidRPr="0012387B">
        <w:rPr>
          <w:rFonts w:asciiTheme="majorHAnsi" w:hAnsiTheme="majorHAnsi"/>
          <w:sz w:val="28"/>
          <w:szCs w:val="28"/>
        </w:rPr>
        <w:t>A vineyard with a fence is better than one without.</w:t>
      </w:r>
      <w:r>
        <w:rPr>
          <w:rFonts w:asciiTheme="majorHAnsi" w:hAnsiTheme="majorHAnsi"/>
          <w:sz w:val="28"/>
          <w:szCs w:val="28"/>
        </w:rPr>
        <w:t xml:space="preserve">  </w:t>
      </w:r>
      <w:r>
        <w:rPr>
          <w:rFonts w:asciiTheme="majorHAnsi" w:hAnsiTheme="majorHAnsi"/>
          <w:b/>
          <w:sz w:val="28"/>
          <w:szCs w:val="28"/>
        </w:rPr>
        <w:t xml:space="preserve">Avot d’Rabbi Natan (ver II) 1, 2a as quoted in </w:t>
      </w:r>
      <w:r>
        <w:rPr>
          <w:rFonts w:asciiTheme="majorHAnsi" w:hAnsiTheme="majorHAnsi"/>
          <w:b/>
          <w:i/>
          <w:sz w:val="28"/>
          <w:szCs w:val="28"/>
        </w:rPr>
        <w:t>Boundaries and Opportunities</w:t>
      </w:r>
      <w:r>
        <w:rPr>
          <w:rFonts w:asciiTheme="majorHAnsi" w:hAnsiTheme="majorHAnsi"/>
          <w:b/>
          <w:sz w:val="28"/>
          <w:szCs w:val="28"/>
        </w:rPr>
        <w:t xml:space="preserve"> (JRF) p. 27</w:t>
      </w:r>
    </w:p>
    <w:p w:rsidR="0012387B" w:rsidRDefault="0012387B" w:rsidP="0012387B">
      <w:pPr>
        <w:pStyle w:val="ListParagraph"/>
        <w:rPr>
          <w:rFonts w:asciiTheme="majorHAnsi" w:hAnsiTheme="majorHAnsi"/>
          <w:b/>
          <w:sz w:val="28"/>
          <w:szCs w:val="28"/>
        </w:rPr>
      </w:pPr>
    </w:p>
    <w:p w:rsidR="004346A8" w:rsidRDefault="004346A8" w:rsidP="0012387B">
      <w:pPr>
        <w:pStyle w:val="ListParagraph"/>
        <w:rPr>
          <w:rFonts w:asciiTheme="majorHAnsi" w:hAnsiTheme="majorHAnsi"/>
          <w:b/>
          <w:sz w:val="28"/>
          <w:szCs w:val="28"/>
        </w:rPr>
      </w:pPr>
    </w:p>
    <w:p w:rsidR="004346A8" w:rsidRDefault="004346A8" w:rsidP="0012387B">
      <w:pPr>
        <w:pStyle w:val="ListParagraph"/>
        <w:rPr>
          <w:rFonts w:asciiTheme="majorHAnsi" w:hAnsiTheme="majorHAnsi"/>
          <w:b/>
          <w:sz w:val="28"/>
          <w:szCs w:val="28"/>
        </w:rPr>
      </w:pPr>
    </w:p>
    <w:p w:rsidR="004346A8" w:rsidRDefault="004346A8" w:rsidP="0012387B">
      <w:pPr>
        <w:pStyle w:val="ListParagraph"/>
        <w:rPr>
          <w:rFonts w:asciiTheme="majorHAnsi" w:hAnsiTheme="majorHAnsi"/>
          <w:b/>
          <w:sz w:val="28"/>
          <w:szCs w:val="28"/>
        </w:rPr>
      </w:pPr>
    </w:p>
    <w:p w:rsidR="004346A8" w:rsidRPr="0012387B" w:rsidRDefault="004346A8" w:rsidP="0012387B">
      <w:pPr>
        <w:pStyle w:val="ListParagraph"/>
        <w:rPr>
          <w:rFonts w:asciiTheme="majorHAnsi" w:hAnsiTheme="majorHAnsi"/>
          <w:b/>
          <w:sz w:val="28"/>
          <w:szCs w:val="28"/>
        </w:rPr>
      </w:pPr>
    </w:p>
    <w:p w:rsidR="0012387B" w:rsidRPr="00A64BB3" w:rsidRDefault="00A64BB3" w:rsidP="00A64BB3">
      <w:pPr>
        <w:pStyle w:val="ListParagraph"/>
        <w:numPr>
          <w:ilvl w:val="0"/>
          <w:numId w:val="1"/>
        </w:numPr>
        <w:jc w:val="left"/>
        <w:rPr>
          <w:rFonts w:asciiTheme="majorHAnsi" w:hAnsiTheme="majorHAnsi"/>
          <w:b/>
          <w:sz w:val="28"/>
          <w:szCs w:val="28"/>
          <w:u w:val="single"/>
        </w:rPr>
      </w:pPr>
      <w:r w:rsidRPr="00A64BB3">
        <w:rPr>
          <w:rFonts w:asciiTheme="majorHAnsi" w:hAnsiTheme="majorHAnsi"/>
          <w:b/>
          <w:sz w:val="28"/>
          <w:szCs w:val="28"/>
          <w:u w:val="single"/>
        </w:rPr>
        <w:lastRenderedPageBreak/>
        <w:t xml:space="preserve">Selected Policy Recommendations of the CCAR Responsum on </w:t>
      </w:r>
      <w:r w:rsidRPr="00A64BB3">
        <w:rPr>
          <w:rFonts w:asciiTheme="majorHAnsi" w:hAnsiTheme="majorHAnsi" w:cs="Arial"/>
          <w:b/>
          <w:color w:val="000000"/>
          <w:sz w:val="28"/>
          <w:szCs w:val="28"/>
          <w:u w:val="single"/>
        </w:rPr>
        <w:t>“Gentile Participation in Synagogue Ritual”</w:t>
      </w:r>
      <w:r w:rsidRPr="00A64BB3">
        <w:rPr>
          <w:rFonts w:asciiTheme="majorHAnsi" w:hAnsiTheme="majorHAnsi" w:cs="Arial"/>
          <w:b/>
          <w:color w:val="000000"/>
          <w:sz w:val="28"/>
          <w:szCs w:val="28"/>
          <w:u w:val="single"/>
        </w:rPr>
        <w:t xml:space="preserve"> (1994 - viewable</w:t>
      </w:r>
      <w:r w:rsidRPr="00A64BB3">
        <w:rPr>
          <w:rFonts w:asciiTheme="majorHAnsi" w:hAnsiTheme="majorHAnsi" w:cs="Arial"/>
          <w:b/>
          <w:color w:val="000000"/>
          <w:sz w:val="28"/>
          <w:szCs w:val="28"/>
          <w:u w:val="single"/>
        </w:rPr>
        <w:t xml:space="preserve"> at </w:t>
      </w:r>
      <w:hyperlink r:id="rId9" w:history="1">
        <w:r w:rsidRPr="00A64BB3">
          <w:rPr>
            <w:rStyle w:val="Hyperlink"/>
            <w:rFonts w:asciiTheme="majorHAnsi" w:hAnsiTheme="majorHAnsi" w:cs="Arial"/>
            <w:b/>
            <w:sz w:val="28"/>
            <w:szCs w:val="28"/>
          </w:rPr>
          <w:t>http://bit.ly/11d3sVy</w:t>
        </w:r>
      </w:hyperlink>
      <w:r w:rsidRPr="00A64BB3">
        <w:rPr>
          <w:rFonts w:asciiTheme="majorHAnsi" w:hAnsiTheme="majorHAnsi" w:cs="Arial"/>
          <w:b/>
          <w:color w:val="000000"/>
          <w:sz w:val="28"/>
          <w:szCs w:val="28"/>
          <w:u w:val="single"/>
        </w:rPr>
        <w:t>) and the</w:t>
      </w:r>
      <w:r w:rsidRPr="00A64BB3">
        <w:rPr>
          <w:rFonts w:asciiTheme="majorHAnsi" w:hAnsiTheme="majorHAnsi" w:cs="Arial"/>
          <w:b/>
          <w:color w:val="000000"/>
          <w:sz w:val="28"/>
          <w:szCs w:val="28"/>
          <w:u w:val="single"/>
        </w:rPr>
        <w:t xml:space="preserve"> </w:t>
      </w:r>
      <w:r w:rsidRPr="00A64BB3">
        <w:rPr>
          <w:rFonts w:asciiTheme="majorHAnsi" w:hAnsiTheme="majorHAnsi"/>
          <w:b/>
          <w:sz w:val="28"/>
          <w:szCs w:val="28"/>
          <w:u w:val="single"/>
        </w:rPr>
        <w:t xml:space="preserve"> JRF Task Force on “The Role of Non-Jews in Jewish Reconstructionist Federation Congregations” as published in </w:t>
      </w:r>
      <w:r w:rsidRPr="00A64BB3">
        <w:rPr>
          <w:rFonts w:asciiTheme="majorHAnsi" w:hAnsiTheme="majorHAnsi"/>
          <w:b/>
          <w:i/>
          <w:sz w:val="28"/>
          <w:szCs w:val="28"/>
          <w:u w:val="single"/>
        </w:rPr>
        <w:t>Boundaries and Opportuniti</w:t>
      </w:r>
      <w:r w:rsidRPr="00A64BB3">
        <w:rPr>
          <w:rFonts w:asciiTheme="majorHAnsi" w:hAnsiTheme="majorHAnsi"/>
          <w:b/>
          <w:sz w:val="28"/>
          <w:szCs w:val="28"/>
          <w:u w:val="single"/>
        </w:rPr>
        <w:t>es</w:t>
      </w:r>
      <w:r w:rsidRPr="00A64BB3">
        <w:rPr>
          <w:rFonts w:asciiTheme="majorHAnsi" w:hAnsiTheme="majorHAnsi"/>
          <w:b/>
          <w:i/>
          <w:sz w:val="28"/>
          <w:szCs w:val="28"/>
          <w:u w:val="single"/>
        </w:rPr>
        <w:t xml:space="preserve"> </w:t>
      </w:r>
      <w:r w:rsidRPr="00A64BB3">
        <w:rPr>
          <w:rFonts w:asciiTheme="majorHAnsi" w:hAnsiTheme="majorHAnsi"/>
          <w:b/>
          <w:sz w:val="28"/>
          <w:szCs w:val="28"/>
          <w:u w:val="single"/>
        </w:rPr>
        <w:t>(1998)</w:t>
      </w:r>
    </w:p>
    <w:p w:rsidR="00A64BB3" w:rsidRPr="00A64BB3" w:rsidRDefault="00A64BB3" w:rsidP="00A64BB3">
      <w:pPr>
        <w:pStyle w:val="ListParagraph"/>
        <w:numPr>
          <w:ilvl w:val="1"/>
          <w:numId w:val="1"/>
        </w:numPr>
        <w:jc w:val="left"/>
        <w:rPr>
          <w:rFonts w:asciiTheme="majorHAnsi" w:hAnsiTheme="majorHAnsi"/>
          <w:b/>
          <w:sz w:val="28"/>
          <w:szCs w:val="28"/>
        </w:rPr>
      </w:pPr>
      <w:r>
        <w:rPr>
          <w:rFonts w:asciiTheme="majorHAnsi" w:hAnsiTheme="majorHAnsi"/>
          <w:sz w:val="28"/>
          <w:szCs w:val="28"/>
        </w:rPr>
        <w:t>A</w:t>
      </w:r>
      <w:r w:rsidRPr="00A64BB3">
        <w:rPr>
          <w:rFonts w:asciiTheme="majorHAnsi" w:hAnsiTheme="majorHAnsi"/>
          <w:sz w:val="28"/>
          <w:szCs w:val="28"/>
        </w:rPr>
        <w:t xml:space="preserve"> non-Jew should not count in a minyan;</w:t>
      </w:r>
    </w:p>
    <w:p w:rsidR="00A64BB3" w:rsidRPr="00A64BB3" w:rsidRDefault="00A64BB3" w:rsidP="00A64BB3">
      <w:pPr>
        <w:pStyle w:val="ListParagraph"/>
        <w:numPr>
          <w:ilvl w:val="1"/>
          <w:numId w:val="1"/>
        </w:numPr>
        <w:jc w:val="left"/>
        <w:rPr>
          <w:rFonts w:asciiTheme="majorHAnsi" w:hAnsiTheme="majorHAnsi"/>
          <w:b/>
          <w:sz w:val="28"/>
          <w:szCs w:val="28"/>
        </w:rPr>
      </w:pPr>
      <w:r>
        <w:rPr>
          <w:rFonts w:asciiTheme="majorHAnsi" w:hAnsiTheme="majorHAnsi"/>
          <w:sz w:val="28"/>
          <w:szCs w:val="28"/>
        </w:rPr>
        <w:t>A</w:t>
      </w:r>
      <w:r w:rsidRPr="00A64BB3">
        <w:rPr>
          <w:rFonts w:asciiTheme="majorHAnsi" w:hAnsiTheme="majorHAnsi"/>
          <w:sz w:val="28"/>
          <w:szCs w:val="28"/>
        </w:rPr>
        <w:t xml:space="preserve"> non-Jew can and should participate in a worship service by offering appropriate readings, </w:t>
      </w:r>
      <w:r>
        <w:rPr>
          <w:rFonts w:asciiTheme="majorHAnsi" w:hAnsiTheme="majorHAnsi"/>
          <w:sz w:val="28"/>
          <w:szCs w:val="28"/>
        </w:rPr>
        <w:t>but never be the service leader</w:t>
      </w:r>
    </w:p>
    <w:p w:rsidR="00A64BB3" w:rsidRPr="00A64BB3" w:rsidRDefault="00A64BB3" w:rsidP="00A64BB3">
      <w:pPr>
        <w:pStyle w:val="ListParagraph"/>
        <w:numPr>
          <w:ilvl w:val="1"/>
          <w:numId w:val="1"/>
        </w:numPr>
        <w:jc w:val="left"/>
        <w:rPr>
          <w:rFonts w:asciiTheme="majorHAnsi" w:hAnsiTheme="majorHAnsi"/>
          <w:b/>
          <w:sz w:val="28"/>
          <w:szCs w:val="28"/>
        </w:rPr>
      </w:pPr>
      <w:r>
        <w:rPr>
          <w:rFonts w:asciiTheme="majorHAnsi" w:hAnsiTheme="majorHAnsi"/>
          <w:i/>
          <w:sz w:val="28"/>
          <w:szCs w:val="28"/>
        </w:rPr>
        <w:t>A</w:t>
      </w:r>
      <w:r w:rsidRPr="00A64BB3">
        <w:rPr>
          <w:rFonts w:asciiTheme="majorHAnsi" w:hAnsiTheme="majorHAnsi"/>
          <w:i/>
          <w:sz w:val="28"/>
          <w:szCs w:val="28"/>
        </w:rPr>
        <w:t>liyot,</w:t>
      </w:r>
      <w:r w:rsidRPr="00A64BB3">
        <w:rPr>
          <w:rFonts w:asciiTheme="majorHAnsi" w:hAnsiTheme="majorHAnsi"/>
          <w:sz w:val="28"/>
          <w:szCs w:val="28"/>
        </w:rPr>
        <w:t xml:space="preserve"> and the lifting and dressing of the Torah should be reserved for Jews</w:t>
      </w:r>
    </w:p>
    <w:p w:rsidR="00A64BB3" w:rsidRPr="00A64BB3" w:rsidRDefault="00A64BB3" w:rsidP="00A64BB3">
      <w:pPr>
        <w:pStyle w:val="ListParagraph"/>
        <w:numPr>
          <w:ilvl w:val="1"/>
          <w:numId w:val="1"/>
        </w:numPr>
        <w:jc w:val="left"/>
        <w:rPr>
          <w:rFonts w:asciiTheme="majorHAnsi" w:hAnsiTheme="majorHAnsi"/>
          <w:b/>
          <w:sz w:val="28"/>
          <w:szCs w:val="28"/>
        </w:rPr>
      </w:pPr>
      <w:r>
        <w:rPr>
          <w:rFonts w:asciiTheme="majorHAnsi" w:hAnsiTheme="majorHAnsi"/>
          <w:sz w:val="28"/>
          <w:szCs w:val="28"/>
        </w:rPr>
        <w:t>B</w:t>
      </w:r>
      <w:r w:rsidRPr="00A64BB3">
        <w:rPr>
          <w:rFonts w:asciiTheme="majorHAnsi" w:hAnsiTheme="majorHAnsi"/>
          <w:sz w:val="28"/>
          <w:szCs w:val="28"/>
        </w:rPr>
        <w:t xml:space="preserve">lessings containing the words </w:t>
      </w:r>
      <w:r w:rsidRPr="00A64BB3">
        <w:rPr>
          <w:rFonts w:asciiTheme="majorHAnsi" w:hAnsiTheme="majorHAnsi"/>
          <w:i/>
          <w:sz w:val="28"/>
          <w:szCs w:val="28"/>
        </w:rPr>
        <w:t>asher kidshanu bemitzvotav</w:t>
      </w:r>
      <w:r w:rsidRPr="00A64BB3">
        <w:rPr>
          <w:rFonts w:asciiTheme="majorHAnsi" w:hAnsiTheme="majorHAnsi"/>
          <w:sz w:val="28"/>
          <w:szCs w:val="28"/>
        </w:rPr>
        <w:t xml:space="preserve"> (who has made us holy through Your commandments) should</w:t>
      </w:r>
      <w:r>
        <w:rPr>
          <w:rFonts w:asciiTheme="majorHAnsi" w:hAnsiTheme="majorHAnsi"/>
          <w:sz w:val="28"/>
          <w:szCs w:val="28"/>
        </w:rPr>
        <w:t xml:space="preserve"> be reserved for Jews</w:t>
      </w:r>
    </w:p>
    <w:p w:rsidR="00A64BB3" w:rsidRDefault="00A64BB3" w:rsidP="00A64BB3">
      <w:pPr>
        <w:jc w:val="left"/>
        <w:rPr>
          <w:rFonts w:asciiTheme="majorHAnsi" w:hAnsiTheme="majorHAnsi"/>
          <w:b/>
          <w:sz w:val="28"/>
          <w:szCs w:val="28"/>
        </w:rPr>
      </w:pPr>
    </w:p>
    <w:p w:rsidR="00A64BB3" w:rsidRPr="001E6591" w:rsidRDefault="001161CB" w:rsidP="001161CB">
      <w:pPr>
        <w:pStyle w:val="ListParagraph"/>
        <w:numPr>
          <w:ilvl w:val="0"/>
          <w:numId w:val="5"/>
        </w:numPr>
        <w:jc w:val="left"/>
        <w:rPr>
          <w:rFonts w:asciiTheme="majorHAnsi" w:hAnsiTheme="majorHAnsi"/>
          <w:b/>
          <w:sz w:val="28"/>
          <w:szCs w:val="28"/>
        </w:rPr>
      </w:pPr>
      <w:r w:rsidRPr="001161CB">
        <w:rPr>
          <w:rFonts w:asciiTheme="majorHAnsi" w:hAnsiTheme="majorHAnsi" w:cs="Arial"/>
          <w:color w:val="000000"/>
          <w:sz w:val="28"/>
          <w:szCs w:val="28"/>
        </w:rPr>
        <w:t>[…] A non-Jew should not be called to the Torah for an</w:t>
      </w:r>
      <w:r w:rsidRPr="001161CB">
        <w:rPr>
          <w:rStyle w:val="apple-converted-space"/>
          <w:rFonts w:asciiTheme="majorHAnsi" w:hAnsiTheme="majorHAnsi" w:cs="Arial"/>
          <w:color w:val="000000"/>
          <w:sz w:val="28"/>
          <w:szCs w:val="28"/>
        </w:rPr>
        <w:t> </w:t>
      </w:r>
      <w:r w:rsidRPr="001161CB">
        <w:rPr>
          <w:rFonts w:asciiTheme="majorHAnsi" w:hAnsiTheme="majorHAnsi" w:cs="Arial"/>
          <w:i/>
          <w:iCs/>
          <w:color w:val="000000"/>
          <w:sz w:val="28"/>
          <w:szCs w:val="28"/>
        </w:rPr>
        <w:t>aliyah.</w:t>
      </w:r>
      <w:r w:rsidRPr="001161CB">
        <w:rPr>
          <w:rStyle w:val="apple-converted-space"/>
          <w:rFonts w:asciiTheme="majorHAnsi" w:hAnsiTheme="majorHAnsi" w:cs="Arial"/>
          <w:color w:val="000000"/>
          <w:sz w:val="28"/>
          <w:szCs w:val="28"/>
        </w:rPr>
        <w:t> </w:t>
      </w:r>
      <w:r w:rsidRPr="001161CB">
        <w:rPr>
          <w:rFonts w:asciiTheme="majorHAnsi" w:hAnsiTheme="majorHAnsi" w:cs="Arial"/>
          <w:color w:val="000000"/>
          <w:sz w:val="28"/>
          <w:szCs w:val="28"/>
        </w:rPr>
        <w:t>The reading of the</w:t>
      </w:r>
      <w:r w:rsidRPr="001161CB">
        <w:rPr>
          <w:rStyle w:val="apple-converted-space"/>
          <w:rFonts w:asciiTheme="majorHAnsi" w:hAnsiTheme="majorHAnsi" w:cs="Arial"/>
          <w:color w:val="000000"/>
          <w:sz w:val="28"/>
          <w:szCs w:val="28"/>
        </w:rPr>
        <w:t> </w:t>
      </w:r>
      <w:r w:rsidRPr="001161CB">
        <w:rPr>
          <w:rFonts w:asciiTheme="majorHAnsi" w:hAnsiTheme="majorHAnsi" w:cs="Arial"/>
          <w:color w:val="000000"/>
          <w:sz w:val="28"/>
          <w:szCs w:val="28"/>
        </w:rPr>
        <w:t>Torah requires the presence of a community, because it is one of the central acts by which the community affirms</w:t>
      </w:r>
      <w:r w:rsidRPr="001161CB">
        <w:rPr>
          <w:rStyle w:val="apple-converted-space"/>
          <w:rFonts w:asciiTheme="majorHAnsi" w:hAnsiTheme="majorHAnsi" w:cs="Arial"/>
          <w:color w:val="000000"/>
          <w:sz w:val="28"/>
          <w:szCs w:val="28"/>
        </w:rPr>
        <w:t> </w:t>
      </w:r>
      <w:r w:rsidRPr="001161CB">
        <w:rPr>
          <w:rFonts w:asciiTheme="majorHAnsi" w:hAnsiTheme="majorHAnsi" w:cs="Arial"/>
          <w:color w:val="000000"/>
          <w:sz w:val="28"/>
          <w:szCs w:val="28"/>
        </w:rPr>
        <w:t>its reason for existence, i.e., the covenant whose words are contained within the scroll. To be called to the Torah</w:t>
      </w:r>
      <w:r w:rsidRPr="001161CB">
        <w:rPr>
          <w:rStyle w:val="apple-converted-space"/>
          <w:rFonts w:asciiTheme="majorHAnsi" w:hAnsiTheme="majorHAnsi" w:cs="Arial"/>
          <w:color w:val="000000"/>
          <w:sz w:val="28"/>
          <w:szCs w:val="28"/>
        </w:rPr>
        <w:t> </w:t>
      </w:r>
      <w:r w:rsidRPr="001161CB">
        <w:rPr>
          <w:rFonts w:asciiTheme="majorHAnsi" w:hAnsiTheme="majorHAnsi" w:cs="Arial"/>
          <w:color w:val="000000"/>
          <w:sz w:val="28"/>
          <w:szCs w:val="28"/>
        </w:rPr>
        <w:t>is to take one's position in the chain of privilege and responsibility by which the Jewish community has perpetuated</w:t>
      </w:r>
      <w:r w:rsidRPr="001161CB">
        <w:rPr>
          <w:rStyle w:val="apple-converted-space"/>
          <w:rFonts w:asciiTheme="majorHAnsi" w:hAnsiTheme="majorHAnsi" w:cs="Arial"/>
          <w:color w:val="000000"/>
          <w:sz w:val="28"/>
          <w:szCs w:val="28"/>
        </w:rPr>
        <w:t> </w:t>
      </w:r>
      <w:r w:rsidRPr="001161CB">
        <w:rPr>
          <w:rFonts w:asciiTheme="majorHAnsi" w:hAnsiTheme="majorHAnsi" w:cs="Arial"/>
          <w:color w:val="000000"/>
          <w:sz w:val="28"/>
          <w:szCs w:val="28"/>
        </w:rPr>
        <w:t>itself. A non-Jew, no matter how supportive, does not share that privilege or that responsibility as long as s/he</w:t>
      </w:r>
      <w:r w:rsidRPr="001161CB">
        <w:rPr>
          <w:rStyle w:val="apple-converted-space"/>
          <w:rFonts w:asciiTheme="majorHAnsi" w:hAnsiTheme="majorHAnsi" w:cs="Arial"/>
          <w:color w:val="000000"/>
          <w:sz w:val="28"/>
          <w:szCs w:val="28"/>
        </w:rPr>
        <w:t> </w:t>
      </w:r>
      <w:r w:rsidRPr="001161CB">
        <w:rPr>
          <w:rFonts w:asciiTheme="majorHAnsi" w:hAnsiTheme="majorHAnsi" w:cs="Arial"/>
          <w:color w:val="000000"/>
          <w:sz w:val="28"/>
          <w:szCs w:val="28"/>
        </w:rPr>
        <w:t>remains formally outside the Jewish community.</w:t>
      </w:r>
      <w:r>
        <w:rPr>
          <w:rFonts w:asciiTheme="majorHAnsi" w:hAnsiTheme="majorHAnsi" w:cs="Arial"/>
          <w:color w:val="000000"/>
          <w:sz w:val="28"/>
          <w:szCs w:val="28"/>
        </w:rPr>
        <w:t xml:space="preserve"> </w:t>
      </w:r>
      <w:r>
        <w:rPr>
          <w:rFonts w:asciiTheme="majorHAnsi" w:hAnsiTheme="majorHAnsi"/>
          <w:b/>
          <w:sz w:val="28"/>
          <w:szCs w:val="28"/>
        </w:rPr>
        <w:t>T</w:t>
      </w:r>
      <w:r w:rsidRPr="001161CB">
        <w:rPr>
          <w:rFonts w:asciiTheme="majorHAnsi" w:hAnsiTheme="majorHAnsi"/>
          <w:b/>
          <w:sz w:val="28"/>
          <w:szCs w:val="28"/>
        </w:rPr>
        <w:t xml:space="preserve">he CCAR Responsum on </w:t>
      </w:r>
      <w:r w:rsidRPr="001161CB">
        <w:rPr>
          <w:rFonts w:asciiTheme="majorHAnsi" w:hAnsiTheme="majorHAnsi" w:cs="Arial"/>
          <w:b/>
          <w:color w:val="000000"/>
          <w:sz w:val="28"/>
          <w:szCs w:val="28"/>
        </w:rPr>
        <w:t xml:space="preserve">“Gentile Participation in Synagogue Ritual” (1994 - viewable at </w:t>
      </w:r>
      <w:hyperlink r:id="rId10" w:history="1">
        <w:r w:rsidRPr="001161CB">
          <w:rPr>
            <w:rStyle w:val="Hyperlink"/>
            <w:rFonts w:asciiTheme="majorHAnsi" w:hAnsiTheme="majorHAnsi" w:cs="Arial"/>
            <w:b/>
            <w:sz w:val="28"/>
            <w:szCs w:val="28"/>
          </w:rPr>
          <w:t>http://bit.ly/11d3sVy</w:t>
        </w:r>
      </w:hyperlink>
      <w:r w:rsidRPr="001161CB">
        <w:rPr>
          <w:rFonts w:asciiTheme="majorHAnsi" w:hAnsiTheme="majorHAnsi" w:cs="Arial"/>
          <w:b/>
          <w:color w:val="000000"/>
          <w:sz w:val="28"/>
          <w:szCs w:val="28"/>
        </w:rPr>
        <w:t>)</w:t>
      </w:r>
    </w:p>
    <w:p w:rsidR="001E6591" w:rsidRDefault="001E6591" w:rsidP="001E6591">
      <w:pPr>
        <w:jc w:val="left"/>
        <w:rPr>
          <w:rFonts w:asciiTheme="majorHAnsi" w:hAnsiTheme="majorHAnsi"/>
          <w:b/>
          <w:sz w:val="28"/>
          <w:szCs w:val="28"/>
        </w:rPr>
      </w:pPr>
    </w:p>
    <w:p w:rsidR="001E6591" w:rsidRDefault="001E6591" w:rsidP="001E6591">
      <w:pPr>
        <w:pStyle w:val="ListParagraph"/>
        <w:numPr>
          <w:ilvl w:val="0"/>
          <w:numId w:val="5"/>
        </w:numPr>
        <w:jc w:val="left"/>
        <w:rPr>
          <w:rFonts w:asciiTheme="majorHAnsi" w:hAnsiTheme="majorHAnsi"/>
          <w:b/>
          <w:sz w:val="28"/>
          <w:szCs w:val="28"/>
        </w:rPr>
      </w:pPr>
      <w:r w:rsidRPr="001E6591">
        <w:rPr>
          <w:rFonts w:asciiTheme="majorHAnsi" w:hAnsiTheme="majorHAnsi"/>
          <w:sz w:val="28"/>
          <w:szCs w:val="28"/>
        </w:rPr>
        <w:t>I would urge that the Committee on Jewish Law and Standards adopt the position that aliyyot for an intermarried Jew be disallowed in almost all cases. Honoring one whose marriage threatens our community implies that the marriage is not really a threat.  That is an implication we cannot afford  to foster. I would make an exception only for an aliyyah in commemoration of a yahrzeit, because in that case the general perception is  that the aliyyah is given in honor of the deceased. That perception is sufficiently widespread to obviate any fear that granting the aliyyah implies approval of the intermarriage.</w:t>
      </w:r>
      <w:r>
        <w:rPr>
          <w:rFonts w:asciiTheme="majorHAnsi" w:hAnsiTheme="majorHAnsi"/>
          <w:sz w:val="28"/>
          <w:szCs w:val="28"/>
        </w:rPr>
        <w:t xml:space="preserve"> </w:t>
      </w:r>
      <w:r>
        <w:rPr>
          <w:rFonts w:asciiTheme="majorHAnsi" w:hAnsiTheme="majorHAnsi"/>
          <w:b/>
          <w:sz w:val="28"/>
          <w:szCs w:val="28"/>
        </w:rPr>
        <w:t>From the CJLS Minority Opinion</w:t>
      </w:r>
      <w:r>
        <w:rPr>
          <w:rFonts w:asciiTheme="majorHAnsi" w:hAnsiTheme="majorHAnsi"/>
          <w:sz w:val="28"/>
          <w:szCs w:val="28"/>
        </w:rPr>
        <w:t xml:space="preserve"> </w:t>
      </w:r>
      <w:r w:rsidRPr="001E6591">
        <w:rPr>
          <w:rFonts w:asciiTheme="majorHAnsi" w:hAnsiTheme="majorHAnsi"/>
          <w:b/>
          <w:sz w:val="28"/>
          <w:szCs w:val="28"/>
        </w:rPr>
        <w:t xml:space="preserve">“Synagogue Honors for the Intermarried Jew: Holding Office and </w:t>
      </w:r>
      <w:r w:rsidRPr="001E6591">
        <w:rPr>
          <w:rFonts w:asciiTheme="majorHAnsi" w:hAnsiTheme="majorHAnsi"/>
          <w:b/>
          <w:i/>
          <w:sz w:val="28"/>
          <w:szCs w:val="28"/>
        </w:rPr>
        <w:t>Aliyyot</w:t>
      </w:r>
      <w:r w:rsidRPr="001E6591">
        <w:rPr>
          <w:rFonts w:asciiTheme="majorHAnsi" w:hAnsiTheme="majorHAnsi"/>
          <w:b/>
          <w:sz w:val="28"/>
          <w:szCs w:val="28"/>
        </w:rPr>
        <w:t xml:space="preserve">” by Rabbi Joel Roth (1984) at </w:t>
      </w:r>
      <w:hyperlink r:id="rId11" w:history="1">
        <w:r w:rsidRPr="001E6591">
          <w:rPr>
            <w:rStyle w:val="Hyperlink"/>
            <w:rFonts w:asciiTheme="majorHAnsi" w:hAnsiTheme="majorHAnsi"/>
            <w:b/>
            <w:sz w:val="28"/>
            <w:szCs w:val="28"/>
          </w:rPr>
          <w:t>http://bit.ly/ZZ2jiW</w:t>
        </w:r>
      </w:hyperlink>
    </w:p>
    <w:p w:rsidR="001E6591" w:rsidRPr="001E6591" w:rsidRDefault="001E6591" w:rsidP="001E6591">
      <w:pPr>
        <w:pStyle w:val="ListParagraph"/>
        <w:rPr>
          <w:rFonts w:asciiTheme="majorHAnsi" w:hAnsiTheme="majorHAnsi"/>
          <w:b/>
          <w:sz w:val="28"/>
          <w:szCs w:val="28"/>
        </w:rPr>
      </w:pPr>
    </w:p>
    <w:p w:rsidR="00A64BB3" w:rsidRDefault="001E6591" w:rsidP="001E6591">
      <w:pPr>
        <w:pStyle w:val="ListParagraph"/>
        <w:numPr>
          <w:ilvl w:val="0"/>
          <w:numId w:val="5"/>
        </w:numPr>
        <w:jc w:val="left"/>
        <w:rPr>
          <w:rFonts w:asciiTheme="majorHAnsi" w:hAnsiTheme="majorHAnsi"/>
          <w:b/>
          <w:sz w:val="28"/>
          <w:szCs w:val="28"/>
        </w:rPr>
      </w:pPr>
      <w:r>
        <w:rPr>
          <w:rFonts w:asciiTheme="majorHAnsi" w:hAnsiTheme="majorHAnsi"/>
          <w:sz w:val="28"/>
          <w:szCs w:val="28"/>
        </w:rPr>
        <w:t>[E</w:t>
      </w:r>
      <w:r w:rsidRPr="001E6591">
        <w:rPr>
          <w:rFonts w:asciiTheme="majorHAnsi" w:hAnsiTheme="majorHAnsi"/>
          <w:sz w:val="28"/>
          <w:szCs w:val="28"/>
        </w:rPr>
        <w:t xml:space="preserve">very human being </w:t>
      </w:r>
      <w:r>
        <w:rPr>
          <w:rFonts w:asciiTheme="majorHAnsi" w:hAnsiTheme="majorHAnsi"/>
          <w:sz w:val="28"/>
          <w:szCs w:val="28"/>
        </w:rPr>
        <w:t xml:space="preserve">has] </w:t>
      </w:r>
      <w:r w:rsidRPr="001E6591">
        <w:rPr>
          <w:rFonts w:asciiTheme="majorHAnsi" w:hAnsiTheme="majorHAnsi"/>
          <w:sz w:val="28"/>
          <w:szCs w:val="28"/>
        </w:rPr>
        <w:t>irreducible worth and dignity, because every human was fashioned in the image of God.</w:t>
      </w:r>
      <w:r>
        <w:rPr>
          <w:rFonts w:asciiTheme="majorHAnsi" w:hAnsiTheme="majorHAnsi"/>
          <w:sz w:val="28"/>
          <w:szCs w:val="28"/>
        </w:rPr>
        <w:t xml:space="preserve">  </w:t>
      </w:r>
      <w:r w:rsidRPr="001E6591">
        <w:rPr>
          <w:rFonts w:asciiTheme="majorHAnsi" w:hAnsiTheme="majorHAnsi"/>
          <w:b/>
          <w:sz w:val="28"/>
          <w:szCs w:val="28"/>
        </w:rPr>
        <w:t xml:space="preserve">Rabbi Harold Kushner on Genesis 1:27, </w:t>
      </w:r>
      <w:r w:rsidRPr="001E6591">
        <w:rPr>
          <w:rFonts w:asciiTheme="majorHAnsi" w:hAnsiTheme="majorHAnsi"/>
          <w:b/>
          <w:i/>
          <w:sz w:val="28"/>
          <w:szCs w:val="28"/>
        </w:rPr>
        <w:t>Etz Hayim: Torah and Commentary</w:t>
      </w:r>
      <w:r>
        <w:rPr>
          <w:rFonts w:asciiTheme="majorHAnsi" w:hAnsiTheme="majorHAnsi"/>
          <w:b/>
          <w:sz w:val="28"/>
          <w:szCs w:val="28"/>
        </w:rPr>
        <w:t xml:space="preserve"> (2001), p. 10</w:t>
      </w:r>
    </w:p>
    <w:p w:rsidR="001E6591" w:rsidRDefault="001E6591" w:rsidP="001E6591">
      <w:pPr>
        <w:pStyle w:val="ListParagraph"/>
        <w:rPr>
          <w:rFonts w:asciiTheme="majorHAnsi" w:hAnsiTheme="majorHAnsi"/>
          <w:b/>
          <w:sz w:val="28"/>
          <w:szCs w:val="28"/>
        </w:rPr>
      </w:pPr>
    </w:p>
    <w:p w:rsidR="004346A8" w:rsidRDefault="004346A8" w:rsidP="001E6591">
      <w:pPr>
        <w:pStyle w:val="ListParagraph"/>
        <w:rPr>
          <w:rFonts w:asciiTheme="majorHAnsi" w:hAnsiTheme="majorHAnsi"/>
          <w:b/>
          <w:sz w:val="28"/>
          <w:szCs w:val="28"/>
        </w:rPr>
      </w:pPr>
    </w:p>
    <w:p w:rsidR="004346A8" w:rsidRDefault="004346A8" w:rsidP="001E6591">
      <w:pPr>
        <w:pStyle w:val="ListParagraph"/>
        <w:rPr>
          <w:rFonts w:asciiTheme="majorHAnsi" w:hAnsiTheme="majorHAnsi"/>
          <w:b/>
          <w:sz w:val="28"/>
          <w:szCs w:val="28"/>
        </w:rPr>
      </w:pPr>
    </w:p>
    <w:p w:rsidR="004346A8" w:rsidRDefault="004346A8" w:rsidP="001E6591">
      <w:pPr>
        <w:pStyle w:val="ListParagraph"/>
        <w:rPr>
          <w:rFonts w:asciiTheme="majorHAnsi" w:hAnsiTheme="majorHAnsi"/>
          <w:b/>
          <w:sz w:val="28"/>
          <w:szCs w:val="28"/>
        </w:rPr>
      </w:pPr>
    </w:p>
    <w:p w:rsidR="004346A8" w:rsidRDefault="004346A8" w:rsidP="001E6591">
      <w:pPr>
        <w:pStyle w:val="ListParagraph"/>
        <w:rPr>
          <w:rFonts w:asciiTheme="majorHAnsi" w:hAnsiTheme="majorHAnsi"/>
          <w:b/>
          <w:sz w:val="28"/>
          <w:szCs w:val="28"/>
        </w:rPr>
      </w:pPr>
    </w:p>
    <w:p w:rsidR="004346A8" w:rsidRPr="001E6591" w:rsidRDefault="004346A8" w:rsidP="001E6591">
      <w:pPr>
        <w:pStyle w:val="ListParagraph"/>
        <w:rPr>
          <w:rFonts w:asciiTheme="majorHAnsi" w:hAnsiTheme="majorHAnsi"/>
          <w:b/>
          <w:sz w:val="28"/>
          <w:szCs w:val="28"/>
        </w:rPr>
      </w:pPr>
    </w:p>
    <w:p w:rsidR="001E6591" w:rsidRPr="001E6591" w:rsidRDefault="001E6591" w:rsidP="001E6591">
      <w:pPr>
        <w:pStyle w:val="ListParagraph"/>
        <w:numPr>
          <w:ilvl w:val="0"/>
          <w:numId w:val="5"/>
        </w:numPr>
        <w:jc w:val="left"/>
        <w:rPr>
          <w:rFonts w:asciiTheme="majorHAnsi" w:hAnsiTheme="majorHAnsi"/>
          <w:b/>
          <w:sz w:val="28"/>
          <w:szCs w:val="28"/>
        </w:rPr>
      </w:pPr>
      <w:r>
        <w:rPr>
          <w:rFonts w:asciiTheme="majorHAnsi" w:hAnsiTheme="majorHAnsi"/>
          <w:b/>
          <w:sz w:val="28"/>
          <w:szCs w:val="28"/>
          <w:u w:val="single"/>
        </w:rPr>
        <w:lastRenderedPageBreak/>
        <w:t>Selected Rabbinic Texts Which Affirm the Full Humanity of the One Who Is Not Jewish, As Cited by Rabbi Eugene Mihaly on pp. 62-63 of</w:t>
      </w:r>
      <w:r w:rsidRPr="001E6591">
        <w:rPr>
          <w:rFonts w:asciiTheme="majorHAnsi" w:hAnsiTheme="majorHAnsi"/>
          <w:b/>
          <w:sz w:val="28"/>
          <w:szCs w:val="28"/>
          <w:u w:val="single"/>
        </w:rPr>
        <w:t xml:space="preserve"> </w:t>
      </w:r>
      <w:r w:rsidRPr="001E6591">
        <w:rPr>
          <w:rFonts w:asciiTheme="majorHAnsi" w:hAnsiTheme="majorHAnsi"/>
          <w:b/>
          <w:i/>
          <w:sz w:val="28"/>
          <w:szCs w:val="28"/>
          <w:u w:val="single"/>
        </w:rPr>
        <w:t>Teshuvot</w:t>
      </w:r>
      <w:r w:rsidRPr="001E6591">
        <w:rPr>
          <w:rFonts w:asciiTheme="majorHAnsi" w:hAnsiTheme="majorHAnsi"/>
          <w:b/>
          <w:sz w:val="28"/>
          <w:szCs w:val="28"/>
          <w:u w:val="single"/>
        </w:rPr>
        <w:t xml:space="preserve"> (</w:t>
      </w:r>
      <w:r w:rsidRPr="001E6591">
        <w:rPr>
          <w:rFonts w:asciiTheme="majorHAnsi" w:hAnsiTheme="majorHAnsi"/>
          <w:b/>
          <w:i/>
          <w:sz w:val="28"/>
          <w:szCs w:val="28"/>
          <w:u w:val="single"/>
        </w:rPr>
        <w:t>Responsa) on Jewish Marriage: with special reference to “Reform Rabbis and Mixed Marriage”</w:t>
      </w:r>
      <w:r w:rsidRPr="001E6591">
        <w:rPr>
          <w:rFonts w:asciiTheme="majorHAnsi" w:hAnsiTheme="majorHAnsi"/>
          <w:b/>
          <w:sz w:val="28"/>
          <w:szCs w:val="28"/>
          <w:u w:val="single"/>
        </w:rPr>
        <w:t xml:space="preserve"> (</w:t>
      </w:r>
      <w:r w:rsidRPr="001E6591">
        <w:rPr>
          <w:rFonts w:asciiTheme="majorHAnsi" w:hAnsiTheme="majorHAnsi"/>
          <w:b/>
          <w:sz w:val="28"/>
          <w:szCs w:val="28"/>
          <w:u w:val="single"/>
        </w:rPr>
        <w:t>1985</w:t>
      </w:r>
      <w:r>
        <w:rPr>
          <w:rFonts w:asciiTheme="majorHAnsi" w:hAnsiTheme="majorHAnsi"/>
          <w:b/>
          <w:sz w:val="28"/>
          <w:szCs w:val="28"/>
          <w:u w:val="single"/>
        </w:rPr>
        <w:t>)</w:t>
      </w:r>
    </w:p>
    <w:p w:rsidR="006446B8" w:rsidRPr="006446B8" w:rsidRDefault="001E6591" w:rsidP="006446B8">
      <w:pPr>
        <w:pStyle w:val="ListParagraph"/>
        <w:numPr>
          <w:ilvl w:val="1"/>
          <w:numId w:val="5"/>
        </w:numPr>
        <w:jc w:val="left"/>
        <w:rPr>
          <w:rFonts w:asciiTheme="majorHAnsi" w:hAnsiTheme="majorHAnsi"/>
          <w:b/>
          <w:sz w:val="28"/>
          <w:szCs w:val="28"/>
        </w:rPr>
      </w:pPr>
      <w:r w:rsidRPr="006446B8">
        <w:rPr>
          <w:rFonts w:asciiTheme="majorHAnsi" w:hAnsiTheme="majorHAnsi"/>
          <w:sz w:val="28"/>
          <w:szCs w:val="28"/>
        </w:rPr>
        <w:t>“He who sees the wise of the nations recites the blessing, “Blessed be He who gave of his wisdom to</w:t>
      </w:r>
      <w:r w:rsidR="006446B8">
        <w:rPr>
          <w:rFonts w:asciiTheme="majorHAnsi" w:hAnsiTheme="majorHAnsi"/>
          <w:sz w:val="28"/>
          <w:szCs w:val="28"/>
        </w:rPr>
        <w:t xml:space="preserve"> all creatures.” </w:t>
      </w:r>
      <w:r w:rsidR="006446B8" w:rsidRPr="006446B8">
        <w:rPr>
          <w:rFonts w:asciiTheme="majorHAnsi" w:hAnsiTheme="majorHAnsi"/>
          <w:b/>
          <w:sz w:val="28"/>
          <w:szCs w:val="28"/>
        </w:rPr>
        <w:t xml:space="preserve">Babylonian Talmud, </w:t>
      </w:r>
      <w:r w:rsidRPr="006446B8">
        <w:rPr>
          <w:rFonts w:asciiTheme="majorHAnsi" w:hAnsiTheme="majorHAnsi"/>
          <w:b/>
          <w:sz w:val="28"/>
          <w:szCs w:val="28"/>
        </w:rPr>
        <w:t>Brachot 58a</w:t>
      </w:r>
    </w:p>
    <w:p w:rsidR="006446B8" w:rsidRDefault="006446B8" w:rsidP="006446B8">
      <w:pPr>
        <w:pStyle w:val="ListParagraph"/>
        <w:ind w:left="1440"/>
        <w:jc w:val="left"/>
        <w:rPr>
          <w:rFonts w:asciiTheme="majorHAnsi" w:hAnsiTheme="majorHAnsi"/>
          <w:sz w:val="28"/>
          <w:szCs w:val="28"/>
        </w:rPr>
      </w:pPr>
    </w:p>
    <w:p w:rsidR="006446B8" w:rsidRDefault="001E6591" w:rsidP="006446B8">
      <w:pPr>
        <w:pStyle w:val="ListParagraph"/>
        <w:numPr>
          <w:ilvl w:val="1"/>
          <w:numId w:val="5"/>
        </w:numPr>
        <w:jc w:val="left"/>
        <w:rPr>
          <w:rFonts w:asciiTheme="majorHAnsi" w:hAnsiTheme="majorHAnsi"/>
          <w:sz w:val="28"/>
          <w:szCs w:val="28"/>
        </w:rPr>
      </w:pPr>
      <w:r w:rsidRPr="006446B8">
        <w:rPr>
          <w:rFonts w:asciiTheme="majorHAnsi" w:hAnsiTheme="majorHAnsi"/>
          <w:sz w:val="28"/>
          <w:szCs w:val="28"/>
        </w:rPr>
        <w:t>“…There are righteous among the gentiles who have a share in the world to come</w:t>
      </w:r>
      <w:r w:rsidRPr="006446B8">
        <w:rPr>
          <w:rFonts w:asciiTheme="majorHAnsi" w:hAnsiTheme="majorHAnsi"/>
          <w:b/>
          <w:sz w:val="28"/>
          <w:szCs w:val="28"/>
        </w:rPr>
        <w:t>.”  Tosephta Sanhedrin 13:2</w:t>
      </w:r>
    </w:p>
    <w:p w:rsidR="006446B8" w:rsidRPr="006446B8" w:rsidRDefault="006446B8" w:rsidP="006446B8">
      <w:pPr>
        <w:pStyle w:val="ListParagraph"/>
        <w:rPr>
          <w:rFonts w:asciiTheme="majorHAnsi" w:hAnsiTheme="majorHAnsi"/>
          <w:sz w:val="28"/>
          <w:szCs w:val="28"/>
        </w:rPr>
      </w:pPr>
    </w:p>
    <w:p w:rsidR="006446B8" w:rsidRPr="006446B8" w:rsidRDefault="001E6591" w:rsidP="006446B8">
      <w:pPr>
        <w:pStyle w:val="ListParagraph"/>
        <w:numPr>
          <w:ilvl w:val="1"/>
          <w:numId w:val="5"/>
        </w:numPr>
        <w:jc w:val="left"/>
        <w:rPr>
          <w:rFonts w:asciiTheme="majorHAnsi" w:hAnsiTheme="majorHAnsi"/>
          <w:b/>
          <w:sz w:val="28"/>
          <w:szCs w:val="28"/>
        </w:rPr>
      </w:pPr>
      <w:r w:rsidRPr="006446B8">
        <w:rPr>
          <w:rFonts w:asciiTheme="majorHAnsi" w:hAnsiTheme="majorHAnsi"/>
          <w:sz w:val="28"/>
          <w:szCs w:val="28"/>
        </w:rPr>
        <w:t>“A gentile who studies Torah is like t</w:t>
      </w:r>
      <w:r w:rsidR="006446B8">
        <w:rPr>
          <w:rFonts w:asciiTheme="majorHAnsi" w:hAnsiTheme="majorHAnsi"/>
          <w:sz w:val="28"/>
          <w:szCs w:val="28"/>
        </w:rPr>
        <w:t xml:space="preserve">he high priest.”  </w:t>
      </w:r>
      <w:r w:rsidR="006446B8" w:rsidRPr="006446B8">
        <w:rPr>
          <w:rFonts w:asciiTheme="majorHAnsi" w:hAnsiTheme="majorHAnsi"/>
          <w:b/>
          <w:sz w:val="28"/>
          <w:szCs w:val="28"/>
        </w:rPr>
        <w:t>Babylonian Talmud,</w:t>
      </w:r>
      <w:r w:rsidRPr="006446B8">
        <w:rPr>
          <w:rFonts w:asciiTheme="majorHAnsi" w:hAnsiTheme="majorHAnsi"/>
          <w:b/>
          <w:sz w:val="28"/>
          <w:szCs w:val="28"/>
        </w:rPr>
        <w:t xml:space="preserve"> Sanhedrin 59a</w:t>
      </w:r>
    </w:p>
    <w:p w:rsidR="006446B8" w:rsidRPr="006446B8" w:rsidRDefault="006446B8" w:rsidP="006446B8">
      <w:pPr>
        <w:pStyle w:val="ListParagraph"/>
        <w:rPr>
          <w:rFonts w:asciiTheme="majorHAnsi" w:hAnsiTheme="majorHAnsi"/>
          <w:sz w:val="28"/>
          <w:szCs w:val="28"/>
        </w:rPr>
      </w:pPr>
    </w:p>
    <w:p w:rsidR="006446B8" w:rsidRPr="006446B8" w:rsidRDefault="001E6591" w:rsidP="006446B8">
      <w:pPr>
        <w:pStyle w:val="ListParagraph"/>
        <w:numPr>
          <w:ilvl w:val="1"/>
          <w:numId w:val="5"/>
        </w:numPr>
        <w:jc w:val="left"/>
        <w:rPr>
          <w:rFonts w:asciiTheme="majorHAnsi" w:hAnsiTheme="majorHAnsi"/>
          <w:b/>
          <w:sz w:val="28"/>
          <w:szCs w:val="28"/>
        </w:rPr>
      </w:pPr>
      <w:r w:rsidRPr="006446B8">
        <w:rPr>
          <w:rFonts w:asciiTheme="majorHAnsi" w:hAnsiTheme="majorHAnsi"/>
          <w:sz w:val="28"/>
          <w:szCs w:val="28"/>
        </w:rPr>
        <w:t>“When R. Simeon b. Gamliel saw an exceptionally beautiful gentile woman, he exclaimed, “How great are your works, O Lord, in whose wi</w:t>
      </w:r>
      <w:r w:rsidR="006446B8">
        <w:rPr>
          <w:rFonts w:asciiTheme="majorHAnsi" w:hAnsiTheme="majorHAnsi"/>
          <w:sz w:val="28"/>
          <w:szCs w:val="28"/>
        </w:rPr>
        <w:t xml:space="preserve">sdom have you made them all.” </w:t>
      </w:r>
      <w:r w:rsidR="006446B8" w:rsidRPr="006446B8">
        <w:rPr>
          <w:rFonts w:asciiTheme="majorHAnsi" w:hAnsiTheme="majorHAnsi"/>
          <w:b/>
          <w:sz w:val="28"/>
          <w:szCs w:val="28"/>
        </w:rPr>
        <w:t>Babylonian Talmud,</w:t>
      </w:r>
      <w:r w:rsidRPr="006446B8">
        <w:rPr>
          <w:rFonts w:asciiTheme="majorHAnsi" w:hAnsiTheme="majorHAnsi"/>
          <w:b/>
          <w:sz w:val="28"/>
          <w:szCs w:val="28"/>
        </w:rPr>
        <w:t xml:space="preserve"> Makkot 20a</w:t>
      </w:r>
    </w:p>
    <w:p w:rsidR="006446B8" w:rsidRPr="006446B8" w:rsidRDefault="006446B8" w:rsidP="006446B8">
      <w:pPr>
        <w:pStyle w:val="ListParagraph"/>
        <w:rPr>
          <w:rFonts w:asciiTheme="majorHAnsi" w:hAnsiTheme="majorHAnsi"/>
          <w:sz w:val="28"/>
          <w:szCs w:val="28"/>
        </w:rPr>
      </w:pPr>
    </w:p>
    <w:p w:rsidR="001E6591" w:rsidRPr="006446B8" w:rsidRDefault="001E6591" w:rsidP="006446B8">
      <w:pPr>
        <w:pStyle w:val="ListParagraph"/>
        <w:numPr>
          <w:ilvl w:val="1"/>
          <w:numId w:val="5"/>
        </w:numPr>
        <w:jc w:val="left"/>
        <w:rPr>
          <w:rFonts w:asciiTheme="majorHAnsi" w:hAnsiTheme="majorHAnsi"/>
          <w:b/>
          <w:sz w:val="28"/>
          <w:szCs w:val="28"/>
        </w:rPr>
      </w:pPr>
      <w:r w:rsidRPr="006446B8">
        <w:rPr>
          <w:rFonts w:asciiTheme="majorHAnsi" w:hAnsiTheme="majorHAnsi"/>
          <w:sz w:val="28"/>
          <w:szCs w:val="28"/>
        </w:rPr>
        <w:t>“I call heaven and earth to witness, whether a person is a gentile or Jew, man or woman, male or female slave, the holy spirit rests upon him in accordance with</w:t>
      </w:r>
      <w:r w:rsidR="006446B8">
        <w:rPr>
          <w:rFonts w:asciiTheme="majorHAnsi" w:hAnsiTheme="majorHAnsi"/>
          <w:sz w:val="28"/>
          <w:szCs w:val="28"/>
        </w:rPr>
        <w:t xml:space="preserve"> the deeds that he performs.” </w:t>
      </w:r>
      <w:r w:rsidRPr="006446B8">
        <w:rPr>
          <w:rFonts w:asciiTheme="majorHAnsi" w:hAnsiTheme="majorHAnsi"/>
          <w:b/>
          <w:sz w:val="28"/>
          <w:szCs w:val="28"/>
        </w:rPr>
        <w:t>Seder Eliahu Rabbah</w:t>
      </w:r>
    </w:p>
    <w:p w:rsidR="001E6591" w:rsidRDefault="001E6591" w:rsidP="001E6591">
      <w:pPr>
        <w:jc w:val="left"/>
        <w:rPr>
          <w:rFonts w:asciiTheme="majorHAnsi" w:hAnsiTheme="majorHAnsi"/>
          <w:b/>
          <w:sz w:val="28"/>
          <w:szCs w:val="28"/>
          <w:u w:val="single"/>
        </w:rPr>
      </w:pPr>
      <w:r w:rsidRPr="001E6591">
        <w:rPr>
          <w:rFonts w:asciiTheme="majorHAnsi" w:hAnsiTheme="majorHAnsi"/>
          <w:b/>
          <w:sz w:val="28"/>
          <w:szCs w:val="28"/>
          <w:u w:val="single"/>
        </w:rPr>
        <w:t xml:space="preserve"> </w:t>
      </w:r>
    </w:p>
    <w:p w:rsidR="00615DE5" w:rsidRDefault="00615DE5" w:rsidP="00615DE5">
      <w:pPr>
        <w:pStyle w:val="ListParagraph"/>
        <w:numPr>
          <w:ilvl w:val="0"/>
          <w:numId w:val="10"/>
        </w:numPr>
        <w:jc w:val="left"/>
        <w:rPr>
          <w:rFonts w:asciiTheme="majorHAnsi" w:hAnsiTheme="majorHAnsi"/>
          <w:b/>
          <w:sz w:val="28"/>
          <w:szCs w:val="28"/>
        </w:rPr>
      </w:pPr>
      <w:r w:rsidRPr="00615DE5">
        <w:rPr>
          <w:rFonts w:asciiTheme="majorHAnsi" w:hAnsiTheme="majorHAnsi"/>
          <w:sz w:val="28"/>
          <w:szCs w:val="28"/>
        </w:rPr>
        <w:t>Those (non-Jews) who live under a religious discipline and worship God in whatever manner, even though their faith is distant from ours, they are not included in the[se] rabbinic ordinances (against gentiles) but they are, regarding many manners, like full Jews, without any distinction.</w:t>
      </w:r>
      <w:r>
        <w:rPr>
          <w:rFonts w:asciiTheme="majorHAnsi" w:hAnsiTheme="majorHAnsi"/>
          <w:sz w:val="28"/>
          <w:szCs w:val="28"/>
        </w:rPr>
        <w:t xml:space="preserve">  </w:t>
      </w:r>
      <w:r>
        <w:rPr>
          <w:rFonts w:asciiTheme="majorHAnsi" w:hAnsiTheme="majorHAnsi"/>
          <w:b/>
          <w:sz w:val="28"/>
          <w:szCs w:val="28"/>
        </w:rPr>
        <w:t>Rabbi Menachem Meiri (13</w:t>
      </w:r>
      <w:r w:rsidRPr="00615DE5">
        <w:rPr>
          <w:rFonts w:asciiTheme="majorHAnsi" w:hAnsiTheme="majorHAnsi"/>
          <w:b/>
          <w:sz w:val="28"/>
          <w:szCs w:val="28"/>
          <w:vertAlign w:val="superscript"/>
        </w:rPr>
        <w:t>th</w:t>
      </w:r>
      <w:r>
        <w:rPr>
          <w:rFonts w:asciiTheme="majorHAnsi" w:hAnsiTheme="majorHAnsi"/>
          <w:b/>
          <w:sz w:val="28"/>
          <w:szCs w:val="28"/>
        </w:rPr>
        <w:t xml:space="preserve"> century Spain)</w:t>
      </w:r>
    </w:p>
    <w:p w:rsidR="00615DE5" w:rsidRDefault="00615DE5" w:rsidP="004346A8">
      <w:pPr>
        <w:jc w:val="left"/>
        <w:rPr>
          <w:rFonts w:asciiTheme="majorHAnsi" w:hAnsiTheme="majorHAnsi"/>
          <w:b/>
          <w:sz w:val="28"/>
          <w:szCs w:val="28"/>
        </w:rPr>
      </w:pPr>
    </w:p>
    <w:p w:rsidR="00615DE5" w:rsidRDefault="00615DE5" w:rsidP="00615DE5">
      <w:pPr>
        <w:pStyle w:val="ListParagraph"/>
        <w:numPr>
          <w:ilvl w:val="0"/>
          <w:numId w:val="10"/>
        </w:numPr>
        <w:jc w:val="left"/>
        <w:rPr>
          <w:rFonts w:asciiTheme="majorHAnsi" w:hAnsiTheme="majorHAnsi"/>
          <w:b/>
          <w:sz w:val="28"/>
          <w:szCs w:val="28"/>
        </w:rPr>
      </w:pPr>
      <w:r w:rsidRPr="00615DE5">
        <w:rPr>
          <w:rFonts w:asciiTheme="majorHAnsi" w:hAnsiTheme="majorHAnsi"/>
          <w:sz w:val="28"/>
          <w:szCs w:val="28"/>
        </w:rPr>
        <w:t>If wine is brought after the food and there is but that one cup, the School of Shammai say: The Benediction is said over the wine and then over the food.  And the School of Hillel say: The Benediction is said over the food and then over the wine.</w:t>
      </w:r>
      <w:r w:rsidRPr="00615DE5">
        <w:rPr>
          <w:rFonts w:asciiTheme="majorHAnsi" w:hAnsiTheme="majorHAnsi"/>
          <w:sz w:val="28"/>
          <w:szCs w:val="28"/>
        </w:rPr>
        <w:t xml:space="preserve">  </w:t>
      </w:r>
      <w:r w:rsidRPr="00615DE5">
        <w:rPr>
          <w:rFonts w:asciiTheme="majorHAnsi" w:hAnsiTheme="majorHAnsi"/>
          <w:sz w:val="28"/>
          <w:szCs w:val="28"/>
        </w:rPr>
        <w:t>They may answer ‘Amen’ after an Israelite who says a Benediction, but not after a Samaritan until they have heard the whole Benediction.</w:t>
      </w:r>
      <w:r>
        <w:rPr>
          <w:rFonts w:asciiTheme="majorHAnsi" w:hAnsiTheme="majorHAnsi"/>
          <w:sz w:val="28"/>
          <w:szCs w:val="28"/>
        </w:rPr>
        <w:t xml:space="preserve">  </w:t>
      </w:r>
      <w:r>
        <w:rPr>
          <w:rFonts w:asciiTheme="majorHAnsi" w:hAnsiTheme="majorHAnsi"/>
          <w:b/>
          <w:sz w:val="28"/>
          <w:szCs w:val="28"/>
        </w:rPr>
        <w:t>Mishnah, Brachot 8:8</w:t>
      </w:r>
    </w:p>
    <w:p w:rsidR="00EE128F" w:rsidRDefault="00EE128F" w:rsidP="00EE128F">
      <w:pPr>
        <w:ind w:left="360"/>
        <w:jc w:val="left"/>
        <w:rPr>
          <w:rFonts w:asciiTheme="majorHAnsi" w:hAnsiTheme="majorHAnsi"/>
          <w:b/>
          <w:sz w:val="28"/>
          <w:szCs w:val="28"/>
        </w:rPr>
      </w:pPr>
    </w:p>
    <w:p w:rsidR="009D0766" w:rsidRPr="009D0766" w:rsidRDefault="009D0766" w:rsidP="009D0766">
      <w:pPr>
        <w:pStyle w:val="ListParagraph"/>
        <w:numPr>
          <w:ilvl w:val="0"/>
          <w:numId w:val="10"/>
        </w:numPr>
        <w:jc w:val="left"/>
        <w:rPr>
          <w:rFonts w:asciiTheme="majorHAnsi" w:hAnsiTheme="majorHAnsi"/>
          <w:b/>
          <w:sz w:val="28"/>
          <w:szCs w:val="28"/>
        </w:rPr>
      </w:pPr>
      <w:r>
        <w:rPr>
          <w:rFonts w:asciiTheme="majorHAnsi" w:hAnsiTheme="majorHAnsi"/>
          <w:b/>
          <w:sz w:val="28"/>
          <w:szCs w:val="28"/>
          <w:u w:val="single"/>
        </w:rPr>
        <w:t xml:space="preserve">Selected Passages from Rabbi Irving “Yitz” Greenberg’s </w:t>
      </w:r>
      <w:r>
        <w:rPr>
          <w:rFonts w:asciiTheme="majorHAnsi" w:hAnsiTheme="majorHAnsi"/>
          <w:b/>
          <w:i/>
          <w:sz w:val="28"/>
          <w:szCs w:val="28"/>
          <w:u w:val="single"/>
        </w:rPr>
        <w:t>For the Sake of Heaven and Earth: The New Encounter Between Judaism and Christianity</w:t>
      </w:r>
      <w:r>
        <w:rPr>
          <w:rFonts w:asciiTheme="majorHAnsi" w:hAnsiTheme="majorHAnsi"/>
          <w:b/>
          <w:sz w:val="28"/>
          <w:szCs w:val="28"/>
          <w:u w:val="single"/>
        </w:rPr>
        <w:t xml:space="preserve"> (2004)</w:t>
      </w:r>
    </w:p>
    <w:p w:rsidR="008816E0" w:rsidRDefault="00EE128F" w:rsidP="008816E0">
      <w:pPr>
        <w:pStyle w:val="ListParagraph"/>
        <w:numPr>
          <w:ilvl w:val="1"/>
          <w:numId w:val="10"/>
        </w:numPr>
        <w:jc w:val="left"/>
        <w:rPr>
          <w:rFonts w:asciiTheme="majorHAnsi" w:hAnsiTheme="majorHAnsi"/>
          <w:b/>
          <w:sz w:val="28"/>
          <w:szCs w:val="28"/>
        </w:rPr>
      </w:pPr>
      <w:r w:rsidRPr="00EE128F">
        <w:rPr>
          <w:rFonts w:asciiTheme="majorHAnsi" w:hAnsiTheme="majorHAnsi"/>
          <w:sz w:val="28"/>
          <w:szCs w:val="28"/>
        </w:rPr>
        <w:t>The covenant of demand (for higher standards of behavior from Jews) had been morally passed through the fires of the Holocaust – and had been found wanting.  In a world where evil forces had access to extraordinary power while God did not intervene to guarantee the safety of the covenantal people, in such a world, any absolute insistence that the people Israel live by a higher standard – or else – was inherently abusive.  Such a demand was illegitimate, and therefore null and void…</w:t>
      </w:r>
      <w:r w:rsidR="008816E0">
        <w:rPr>
          <w:rFonts w:asciiTheme="majorHAnsi" w:hAnsiTheme="majorHAnsi"/>
          <w:b/>
          <w:sz w:val="28"/>
          <w:szCs w:val="28"/>
        </w:rPr>
        <w:t xml:space="preserve">Pages </w:t>
      </w:r>
      <w:r>
        <w:rPr>
          <w:rFonts w:asciiTheme="majorHAnsi" w:hAnsiTheme="majorHAnsi"/>
          <w:b/>
          <w:sz w:val="28"/>
          <w:szCs w:val="28"/>
        </w:rPr>
        <w:t>27-28</w:t>
      </w:r>
    </w:p>
    <w:p w:rsidR="0017356C" w:rsidRDefault="0017356C" w:rsidP="0017356C">
      <w:pPr>
        <w:pStyle w:val="ListParagraph"/>
        <w:ind w:left="1440"/>
        <w:jc w:val="left"/>
        <w:rPr>
          <w:rFonts w:asciiTheme="majorHAnsi" w:hAnsiTheme="majorHAnsi"/>
          <w:b/>
          <w:sz w:val="28"/>
          <w:szCs w:val="28"/>
        </w:rPr>
      </w:pPr>
    </w:p>
    <w:p w:rsidR="008816E0" w:rsidRDefault="008816E0" w:rsidP="008816E0">
      <w:pPr>
        <w:pStyle w:val="ListParagraph"/>
        <w:numPr>
          <w:ilvl w:val="1"/>
          <w:numId w:val="10"/>
        </w:numPr>
        <w:jc w:val="left"/>
        <w:rPr>
          <w:rFonts w:asciiTheme="majorHAnsi" w:hAnsiTheme="majorHAnsi"/>
          <w:b/>
          <w:sz w:val="28"/>
          <w:szCs w:val="28"/>
        </w:rPr>
      </w:pPr>
      <w:r w:rsidRPr="008816E0">
        <w:rPr>
          <w:rFonts w:asciiTheme="majorHAnsi" w:hAnsiTheme="majorHAnsi"/>
          <w:sz w:val="28"/>
          <w:szCs w:val="28"/>
        </w:rPr>
        <w:lastRenderedPageBreak/>
        <w:t>Partnership, however, involves going one step further [than pluralism].  Each partner affirms that its truth/faith/system alone cannot fulfill God’s dreams.  The world needs the contribution that the other religion can make for the sake of achieving wholeness and perfection for all.  A partner affirms (today, I would say: celebrates) that God assigns different roles and different contributions to different groups.</w:t>
      </w:r>
      <w:r w:rsidR="002A2BBB">
        <w:rPr>
          <w:rFonts w:asciiTheme="majorHAnsi" w:hAnsiTheme="majorHAnsi"/>
          <w:sz w:val="28"/>
          <w:szCs w:val="28"/>
        </w:rPr>
        <w:t xml:space="preserve"> </w:t>
      </w:r>
      <w:r w:rsidR="002A2BBB">
        <w:rPr>
          <w:rFonts w:asciiTheme="majorHAnsi" w:hAnsiTheme="majorHAnsi"/>
          <w:b/>
          <w:sz w:val="28"/>
          <w:szCs w:val="28"/>
        </w:rPr>
        <w:t>Page 43</w:t>
      </w:r>
    </w:p>
    <w:p w:rsidR="0017356C" w:rsidRPr="0017356C" w:rsidRDefault="0017356C" w:rsidP="0017356C">
      <w:pPr>
        <w:jc w:val="left"/>
        <w:rPr>
          <w:rFonts w:asciiTheme="majorHAnsi" w:hAnsiTheme="majorHAnsi"/>
          <w:b/>
          <w:sz w:val="28"/>
          <w:szCs w:val="28"/>
        </w:rPr>
      </w:pPr>
    </w:p>
    <w:p w:rsidR="002A2BBB" w:rsidRDefault="002A2BBB" w:rsidP="008816E0">
      <w:pPr>
        <w:pStyle w:val="ListParagraph"/>
        <w:numPr>
          <w:ilvl w:val="1"/>
          <w:numId w:val="10"/>
        </w:numPr>
        <w:jc w:val="left"/>
        <w:rPr>
          <w:rFonts w:asciiTheme="majorHAnsi" w:hAnsiTheme="majorHAnsi"/>
          <w:b/>
          <w:sz w:val="28"/>
          <w:szCs w:val="28"/>
        </w:rPr>
      </w:pPr>
      <w:r w:rsidRPr="002A2BBB">
        <w:rPr>
          <w:rFonts w:asciiTheme="majorHAnsi" w:hAnsiTheme="majorHAnsi"/>
          <w:sz w:val="28"/>
          <w:szCs w:val="28"/>
        </w:rPr>
        <w:t>The members of the other faiths could be recognized as Abraham’s beloved children, but only when they purged themselves of hatred of Jews and of supersessionist claims.</w:t>
      </w:r>
      <w:r w:rsidRPr="002A2BBB">
        <w:rPr>
          <w:rFonts w:asciiTheme="majorHAnsi" w:hAnsiTheme="majorHAnsi"/>
          <w:sz w:val="28"/>
          <w:szCs w:val="28"/>
        </w:rPr>
        <w:t xml:space="preserve"> </w:t>
      </w:r>
      <w:r w:rsidRPr="002A2BBB">
        <w:rPr>
          <w:rFonts w:asciiTheme="majorHAnsi" w:hAnsiTheme="majorHAnsi"/>
          <w:b/>
          <w:sz w:val="28"/>
          <w:szCs w:val="28"/>
        </w:rPr>
        <w:t>Page 40</w:t>
      </w:r>
    </w:p>
    <w:p w:rsidR="0017356C" w:rsidRPr="0017356C" w:rsidRDefault="0017356C" w:rsidP="0017356C">
      <w:pPr>
        <w:jc w:val="left"/>
        <w:rPr>
          <w:rFonts w:asciiTheme="majorHAnsi" w:hAnsiTheme="majorHAnsi"/>
          <w:b/>
          <w:sz w:val="28"/>
          <w:szCs w:val="28"/>
        </w:rPr>
      </w:pPr>
    </w:p>
    <w:p w:rsidR="0017356C" w:rsidRPr="0017356C" w:rsidRDefault="0017356C" w:rsidP="008816E0">
      <w:pPr>
        <w:pStyle w:val="ListParagraph"/>
        <w:numPr>
          <w:ilvl w:val="1"/>
          <w:numId w:val="10"/>
        </w:numPr>
        <w:jc w:val="left"/>
        <w:rPr>
          <w:rFonts w:asciiTheme="majorHAnsi" w:hAnsiTheme="majorHAnsi"/>
          <w:b/>
          <w:sz w:val="28"/>
          <w:szCs w:val="28"/>
        </w:rPr>
      </w:pPr>
      <w:r w:rsidRPr="0017356C">
        <w:rPr>
          <w:rFonts w:asciiTheme="majorHAnsi" w:hAnsiTheme="majorHAnsi"/>
          <w:sz w:val="28"/>
          <w:szCs w:val="28"/>
        </w:rPr>
        <w:t>In effect, I am proposing that Christians are “honorary” members of the House of Israel, spiritual descendants of Abraham and Sarah. […] The articulation of this relationship is an attempt to capture the special connection to the mission of Israel and the intention to join the people Israel, which Christians express by dint of being Christian.</w:t>
      </w:r>
      <w:r w:rsidRPr="0017356C">
        <w:rPr>
          <w:rFonts w:asciiTheme="majorHAnsi" w:hAnsiTheme="majorHAnsi"/>
          <w:sz w:val="28"/>
          <w:szCs w:val="28"/>
        </w:rPr>
        <w:t xml:space="preserve"> </w:t>
      </w:r>
      <w:r w:rsidRPr="0017356C">
        <w:rPr>
          <w:rFonts w:asciiTheme="majorHAnsi" w:hAnsiTheme="majorHAnsi"/>
          <w:b/>
          <w:sz w:val="28"/>
          <w:szCs w:val="28"/>
        </w:rPr>
        <w:t>Page 96</w:t>
      </w:r>
    </w:p>
    <w:p w:rsidR="001C7C93" w:rsidRPr="00615DE5" w:rsidRDefault="001C7C93" w:rsidP="00B814F7">
      <w:pPr>
        <w:jc w:val="left"/>
        <w:rPr>
          <w:rFonts w:asciiTheme="majorHAnsi" w:hAnsiTheme="majorHAnsi"/>
          <w:sz w:val="28"/>
          <w:szCs w:val="28"/>
        </w:rPr>
      </w:pPr>
    </w:p>
    <w:p w:rsidR="00B814F7" w:rsidRDefault="0017356C" w:rsidP="0017356C">
      <w:pPr>
        <w:pStyle w:val="ListParagraph"/>
        <w:numPr>
          <w:ilvl w:val="0"/>
          <w:numId w:val="11"/>
        </w:numPr>
        <w:jc w:val="left"/>
        <w:rPr>
          <w:rFonts w:asciiTheme="majorHAnsi" w:hAnsiTheme="majorHAnsi"/>
          <w:sz w:val="28"/>
          <w:szCs w:val="28"/>
        </w:rPr>
      </w:pPr>
      <w:r>
        <w:rPr>
          <w:rFonts w:asciiTheme="majorHAnsi" w:hAnsiTheme="majorHAnsi"/>
          <w:b/>
          <w:sz w:val="28"/>
          <w:szCs w:val="28"/>
        </w:rPr>
        <w:t>Two Projects That Rabbi Steven Greenberg Contributed to That Rabbi Brown Highly Recommends:</w:t>
      </w:r>
    </w:p>
    <w:p w:rsidR="0017356C" w:rsidRDefault="0017356C" w:rsidP="0017356C">
      <w:pPr>
        <w:pStyle w:val="ListParagraph"/>
        <w:numPr>
          <w:ilvl w:val="1"/>
          <w:numId w:val="11"/>
        </w:numPr>
        <w:jc w:val="left"/>
        <w:rPr>
          <w:rFonts w:asciiTheme="majorHAnsi" w:hAnsiTheme="majorHAnsi"/>
          <w:sz w:val="28"/>
          <w:szCs w:val="28"/>
        </w:rPr>
      </w:pPr>
      <w:r>
        <w:rPr>
          <w:rFonts w:asciiTheme="majorHAnsi" w:hAnsiTheme="majorHAnsi"/>
          <w:i/>
          <w:sz w:val="28"/>
          <w:szCs w:val="28"/>
        </w:rPr>
        <w:t>Trembling Before G-d</w:t>
      </w:r>
      <w:r>
        <w:rPr>
          <w:rFonts w:asciiTheme="majorHAnsi" w:hAnsiTheme="majorHAnsi"/>
          <w:sz w:val="28"/>
          <w:szCs w:val="28"/>
        </w:rPr>
        <w:t xml:space="preserve"> (documentary film, 2001)</w:t>
      </w:r>
    </w:p>
    <w:p w:rsidR="0017356C" w:rsidRDefault="0017356C" w:rsidP="0017356C">
      <w:pPr>
        <w:pStyle w:val="ListParagraph"/>
        <w:numPr>
          <w:ilvl w:val="1"/>
          <w:numId w:val="11"/>
        </w:numPr>
        <w:jc w:val="left"/>
        <w:rPr>
          <w:rFonts w:asciiTheme="majorHAnsi" w:hAnsiTheme="majorHAnsi"/>
          <w:sz w:val="28"/>
          <w:szCs w:val="28"/>
        </w:rPr>
      </w:pPr>
      <w:r w:rsidRPr="0017356C">
        <w:rPr>
          <w:rFonts w:asciiTheme="majorHAnsi" w:hAnsiTheme="majorHAnsi"/>
          <w:i/>
          <w:sz w:val="28"/>
          <w:szCs w:val="28"/>
        </w:rPr>
        <w:t>Wrestling With God and Men: Homosexuality in the Jewish Tradition</w:t>
      </w:r>
      <w:r>
        <w:rPr>
          <w:rFonts w:asciiTheme="majorHAnsi" w:hAnsiTheme="majorHAnsi"/>
          <w:sz w:val="28"/>
          <w:szCs w:val="28"/>
        </w:rPr>
        <w:t xml:space="preserve"> (book, 2004)</w:t>
      </w:r>
    </w:p>
    <w:p w:rsidR="0017356C" w:rsidRDefault="0017356C"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200343" w:rsidP="00200343">
      <w:pPr>
        <w:jc w:val="center"/>
        <w:rPr>
          <w:rFonts w:asciiTheme="majorHAnsi" w:hAnsiTheme="majorHAnsi"/>
          <w:sz w:val="28"/>
          <w:szCs w:val="28"/>
        </w:rPr>
      </w:pPr>
      <w:r>
        <w:rPr>
          <w:rFonts w:asciiTheme="majorHAnsi" w:hAnsiTheme="majorHAnsi"/>
          <w:sz w:val="28"/>
          <w:szCs w:val="28"/>
        </w:rPr>
        <w:t>[Texts continue on the next page.]</w:t>
      </w:r>
      <w:bookmarkStart w:id="0" w:name="_GoBack"/>
      <w:bookmarkEnd w:id="0"/>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4346A8" w:rsidRDefault="004346A8" w:rsidP="0017356C">
      <w:pPr>
        <w:jc w:val="left"/>
        <w:rPr>
          <w:rFonts w:asciiTheme="majorHAnsi" w:hAnsiTheme="majorHAnsi"/>
          <w:sz w:val="28"/>
          <w:szCs w:val="28"/>
        </w:rPr>
      </w:pPr>
    </w:p>
    <w:p w:rsidR="0017356C" w:rsidRPr="0072784D" w:rsidRDefault="0017356C" w:rsidP="0017356C">
      <w:pPr>
        <w:pStyle w:val="ListParagraph"/>
        <w:numPr>
          <w:ilvl w:val="0"/>
          <w:numId w:val="11"/>
        </w:numPr>
        <w:rPr>
          <w:rFonts w:asciiTheme="majorHAnsi" w:hAnsiTheme="majorHAnsi"/>
          <w:sz w:val="28"/>
          <w:szCs w:val="28"/>
          <w:shd w:val="clear" w:color="auto" w:fill="FFFFFF"/>
        </w:rPr>
      </w:pPr>
      <w:r>
        <w:rPr>
          <w:rFonts w:asciiTheme="majorHAnsi" w:hAnsiTheme="majorHAnsi"/>
          <w:sz w:val="28"/>
          <w:szCs w:val="28"/>
          <w:shd w:val="clear" w:color="auto" w:fill="FFFFFF"/>
        </w:rPr>
        <w:lastRenderedPageBreak/>
        <w:t>[</w:t>
      </w:r>
      <w:r w:rsidRPr="0017356C">
        <w:rPr>
          <w:rFonts w:asciiTheme="majorHAnsi" w:hAnsiTheme="majorHAnsi"/>
          <w:sz w:val="28"/>
          <w:szCs w:val="28"/>
          <w:shd w:val="clear" w:color="auto" w:fill="FFFFFF"/>
        </w:rPr>
        <w:t>In our day,</w:t>
      </w:r>
      <w:r>
        <w:rPr>
          <w:rFonts w:asciiTheme="majorHAnsi" w:hAnsiTheme="majorHAnsi"/>
          <w:sz w:val="28"/>
          <w:szCs w:val="28"/>
          <w:shd w:val="clear" w:color="auto" w:fill="FFFFFF"/>
        </w:rPr>
        <w:t>]</w:t>
      </w:r>
      <w:r w:rsidRPr="0017356C">
        <w:rPr>
          <w:rFonts w:asciiTheme="majorHAnsi" w:hAnsiTheme="majorHAnsi"/>
          <w:sz w:val="28"/>
          <w:szCs w:val="28"/>
          <w:shd w:val="clear" w:color="auto" w:fill="FFFFFF"/>
        </w:rPr>
        <w:t xml:space="preserve"> the traditional Jewish community forces the non-Jewish spouse [in an interfaith relationship] to consider an all or nothing bargain -- either full-fledged Jewish identity by conversion, or rejection.  </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An alternative approach that would emphasize the positive value of Jewish culture and tradition, and the joys of living in a Jewish home without insisting upon conversion has, until now, not been imaginable. </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What if we were to create such an approach that would in effect look upon non-Jewish spouses as potential</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i/>
          <w:iCs/>
          <w:sz w:val="28"/>
          <w:szCs w:val="28"/>
          <w:shd w:val="clear" w:color="auto" w:fill="FFFFFF"/>
        </w:rPr>
        <w:t>gerei toshav</w:t>
      </w:r>
      <w:r w:rsidRPr="0017356C">
        <w:rPr>
          <w:rFonts w:asciiTheme="majorHAnsi" w:hAnsiTheme="majorHAnsi"/>
          <w:sz w:val="28"/>
          <w:szCs w:val="28"/>
          <w:shd w:val="clear" w:color="auto" w:fill="FFFFFF"/>
        </w:rPr>
        <w:t>?  </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Rabbis would then be able to offer to non-Jews wishing to marry a Jewish spouse the opportunity to become not converts, but committed fans of the Jewish people.”</w:t>
      </w:r>
      <w:r>
        <w:rPr>
          <w:rFonts w:asciiTheme="majorHAnsi" w:hAnsiTheme="majorHAnsi"/>
          <w:sz w:val="28"/>
          <w:szCs w:val="28"/>
          <w:shd w:val="clear" w:color="auto" w:fill="FFFFFF"/>
        </w:rPr>
        <w:t xml:space="preserve">  […] </w:t>
      </w:r>
      <w:r w:rsidRPr="0017356C">
        <w:rPr>
          <w:rFonts w:asciiTheme="majorHAnsi" w:hAnsiTheme="majorHAnsi"/>
          <w:sz w:val="28"/>
          <w:szCs w:val="28"/>
          <w:shd w:val="clear" w:color="auto" w:fill="FFFFFF"/>
        </w:rPr>
        <w:t>“The marriage of a Jew and a</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i/>
          <w:iCs/>
          <w:sz w:val="28"/>
          <w:szCs w:val="28"/>
          <w:shd w:val="clear" w:color="auto" w:fill="FFFFFF"/>
        </w:rPr>
        <w:t>ger toshav</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 xml:space="preserve">would not be legitimate under existing </w:t>
      </w:r>
      <w:r w:rsidRPr="0017356C">
        <w:rPr>
          <w:rFonts w:asciiTheme="majorHAnsi" w:hAnsiTheme="majorHAnsi"/>
          <w:i/>
          <w:iCs/>
          <w:sz w:val="28"/>
          <w:szCs w:val="28"/>
          <w:shd w:val="clear" w:color="auto" w:fill="FFFFFF"/>
        </w:rPr>
        <w:t>halachic</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frameworks. </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However, my own work in finding solutions to gay and lesbian marriage has shed light on this issue for me.</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  </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In thinking about non-normative marriage partners, I have decided that</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i/>
          <w:iCs/>
          <w:sz w:val="28"/>
          <w:szCs w:val="28"/>
          <w:shd w:val="clear" w:color="auto" w:fill="FFFFFF"/>
        </w:rPr>
        <w:t>kiddushin</w:t>
      </w:r>
      <w:r w:rsidRPr="0017356C">
        <w:rPr>
          <w:rFonts w:asciiTheme="majorHAnsi" w:hAnsiTheme="majorHAnsi"/>
          <w:sz w:val="28"/>
          <w:szCs w:val="28"/>
          <w:shd w:val="clear" w:color="auto" w:fill="FFFFFF"/>
        </w:rPr>
        <w:t>, the traditional ritual for the Jewish wedding, simply doesn’t apply to gay couples.</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 </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What does make sense for such couples is a religiously meaningful commitment ceremony. </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In this case as well, the traditional ritual would not well serve a mixed couple.</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 </w:t>
      </w:r>
      <w:r w:rsidRPr="0017356C">
        <w:rPr>
          <w:rStyle w:val="apple-converted-space"/>
          <w:rFonts w:asciiTheme="majorHAnsi" w:hAnsiTheme="majorHAnsi" w:cs="Arial"/>
          <w:color w:val="000000"/>
          <w:sz w:val="28"/>
          <w:szCs w:val="28"/>
          <w:shd w:val="clear" w:color="auto" w:fill="FFFFFF"/>
        </w:rPr>
        <w:t> </w:t>
      </w:r>
      <w:r w:rsidRPr="0017356C">
        <w:rPr>
          <w:rFonts w:asciiTheme="majorHAnsi" w:hAnsiTheme="majorHAnsi"/>
          <w:sz w:val="28"/>
          <w:szCs w:val="28"/>
          <w:shd w:val="clear" w:color="auto" w:fill="FFFFFF"/>
        </w:rPr>
        <w:t>New rituals for such marriages, rituals that partake of Jewish resources and speak honestly about what is actually happening, are needed.  Exactly what such marriages could mean for the Jewish community, how they ought to be formally enjoined, or how they should be terminated when they end are all questions that call for the exercise of cultural creativity.  </w:t>
      </w:r>
      <w:r w:rsidRPr="0017356C">
        <w:rPr>
          <w:rFonts w:asciiTheme="majorHAnsi" w:hAnsiTheme="majorHAnsi"/>
          <w:b/>
          <w:sz w:val="28"/>
          <w:szCs w:val="28"/>
          <w:shd w:val="clear" w:color="auto" w:fill="FFFFFF"/>
        </w:rPr>
        <w:t>Rabbi Steven Greenberg, “</w:t>
      </w:r>
      <w:r w:rsidRPr="0017356C">
        <w:rPr>
          <w:rFonts w:asciiTheme="majorHAnsi" w:hAnsiTheme="majorHAnsi"/>
          <w:b/>
          <w:sz w:val="28"/>
          <w:szCs w:val="28"/>
        </w:rPr>
        <w:t>Between Intermarriage and Co</w:t>
      </w:r>
      <w:r w:rsidRPr="0017356C">
        <w:rPr>
          <w:rFonts w:asciiTheme="majorHAnsi" w:hAnsiTheme="majorHAnsi"/>
          <w:b/>
          <w:sz w:val="28"/>
          <w:szCs w:val="28"/>
        </w:rPr>
        <w:t xml:space="preserve">nversion: Finding a Middle Way” (2001), available at </w:t>
      </w:r>
      <w:hyperlink r:id="rId12" w:history="1">
        <w:r w:rsidRPr="0017356C">
          <w:rPr>
            <w:rStyle w:val="Hyperlink"/>
            <w:rFonts w:asciiTheme="majorHAnsi" w:hAnsiTheme="majorHAnsi"/>
            <w:b/>
            <w:sz w:val="28"/>
            <w:szCs w:val="28"/>
          </w:rPr>
          <w:t>http://www.clal.org/ss43.html</w:t>
        </w:r>
      </w:hyperlink>
      <w:r>
        <w:rPr>
          <w:rFonts w:ascii="Garamond" w:hAnsi="Garamond"/>
          <w:sz w:val="50"/>
          <w:szCs w:val="50"/>
        </w:rPr>
        <w:t xml:space="preserve"> </w:t>
      </w:r>
    </w:p>
    <w:p w:rsidR="0072784D" w:rsidRDefault="0072784D" w:rsidP="0072784D">
      <w:pPr>
        <w:rPr>
          <w:rFonts w:asciiTheme="majorHAnsi" w:hAnsiTheme="majorHAnsi"/>
          <w:sz w:val="28"/>
          <w:szCs w:val="28"/>
          <w:shd w:val="clear" w:color="auto" w:fill="FFFFFF"/>
        </w:rPr>
      </w:pPr>
    </w:p>
    <w:p w:rsidR="0072784D" w:rsidRPr="0072784D" w:rsidRDefault="0072784D" w:rsidP="0072784D">
      <w:pPr>
        <w:pStyle w:val="ListParagraph"/>
        <w:numPr>
          <w:ilvl w:val="0"/>
          <w:numId w:val="11"/>
        </w:numPr>
        <w:rPr>
          <w:rFonts w:asciiTheme="majorHAnsi" w:hAnsiTheme="majorHAnsi"/>
          <w:sz w:val="28"/>
          <w:szCs w:val="28"/>
          <w:shd w:val="clear" w:color="auto" w:fill="FFFFFF"/>
        </w:rPr>
      </w:pPr>
      <w:r w:rsidRPr="0072784D">
        <w:rPr>
          <w:rFonts w:asciiTheme="majorHAnsi" w:hAnsiTheme="majorHAnsi"/>
          <w:sz w:val="28"/>
          <w:szCs w:val="28"/>
        </w:rPr>
        <w:t>Can we live together?  […] Can we overcome long histories of estrangement and bitterness?  […]  Can we find, in the human other, a trace of the Divine Other?  Can we recognize God’s image in one who is not in my image?  There are times when God meets us in the face of a stranger.  […]  Can I, a Jew, hear the echoes of God’s voice in that of a Hindu or Sikh or Christian or Muslim?  What then becomes of my faith, which until then had encompassed the world and must now make space for another faith, another way of interpreting the world?</w:t>
      </w:r>
      <w:r>
        <w:rPr>
          <w:rFonts w:asciiTheme="majorHAnsi" w:hAnsiTheme="majorHAnsi"/>
          <w:sz w:val="28"/>
          <w:szCs w:val="28"/>
        </w:rPr>
        <w:t xml:space="preserve"> </w:t>
      </w:r>
      <w:r>
        <w:rPr>
          <w:rFonts w:asciiTheme="majorHAnsi" w:hAnsiTheme="majorHAnsi"/>
          <w:b/>
          <w:sz w:val="28"/>
          <w:szCs w:val="28"/>
        </w:rPr>
        <w:t xml:space="preserve">Rabbi Jonathan Sacks, </w:t>
      </w:r>
      <w:r>
        <w:rPr>
          <w:rFonts w:asciiTheme="majorHAnsi" w:hAnsiTheme="majorHAnsi"/>
          <w:b/>
          <w:i/>
          <w:sz w:val="28"/>
          <w:szCs w:val="28"/>
        </w:rPr>
        <w:t xml:space="preserve">The Dignity of Difference </w:t>
      </w:r>
      <w:r>
        <w:rPr>
          <w:rFonts w:asciiTheme="majorHAnsi" w:hAnsiTheme="majorHAnsi"/>
          <w:b/>
          <w:sz w:val="28"/>
          <w:szCs w:val="28"/>
        </w:rPr>
        <w:t>(2003)</w:t>
      </w:r>
    </w:p>
    <w:p w:rsidR="006C3F6B" w:rsidRPr="00B13793" w:rsidRDefault="006C3F6B" w:rsidP="00B13793">
      <w:pPr>
        <w:ind w:left="720"/>
        <w:rPr>
          <w:rFonts w:asciiTheme="majorHAnsi" w:hAnsiTheme="majorHAnsi"/>
          <w:b/>
          <w:sz w:val="28"/>
          <w:szCs w:val="28"/>
        </w:rPr>
      </w:pPr>
    </w:p>
    <w:sectPr w:rsidR="006C3F6B" w:rsidRPr="00B13793" w:rsidSect="004346A8">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1A" w:rsidRDefault="002F451A" w:rsidP="00137892">
      <w:r>
        <w:separator/>
      </w:r>
    </w:p>
  </w:endnote>
  <w:endnote w:type="continuationSeparator" w:id="0">
    <w:p w:rsidR="002F451A" w:rsidRDefault="002F451A" w:rsidP="001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518142"/>
      <w:docPartObj>
        <w:docPartGallery w:val="Page Numbers (Bottom of Page)"/>
        <w:docPartUnique/>
      </w:docPartObj>
    </w:sdtPr>
    <w:sdtEndPr>
      <w:rPr>
        <w:noProof/>
      </w:rPr>
    </w:sdtEndPr>
    <w:sdtContent>
      <w:p w:rsidR="00137892" w:rsidRDefault="00137892">
        <w:pPr>
          <w:pStyle w:val="Footer"/>
          <w:jc w:val="center"/>
        </w:pPr>
        <w:r>
          <w:fldChar w:fldCharType="begin"/>
        </w:r>
        <w:r>
          <w:instrText xml:space="preserve"> PAGE   \* MERGEFORMAT </w:instrText>
        </w:r>
        <w:r>
          <w:fldChar w:fldCharType="separate"/>
        </w:r>
        <w:r w:rsidR="00200343">
          <w:rPr>
            <w:noProof/>
          </w:rPr>
          <w:t>4</w:t>
        </w:r>
        <w:r>
          <w:rPr>
            <w:noProof/>
          </w:rPr>
          <w:fldChar w:fldCharType="end"/>
        </w:r>
      </w:p>
    </w:sdtContent>
  </w:sdt>
  <w:p w:rsidR="00137892" w:rsidRDefault="0013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1A" w:rsidRDefault="002F451A" w:rsidP="00137892">
      <w:r>
        <w:separator/>
      </w:r>
    </w:p>
  </w:footnote>
  <w:footnote w:type="continuationSeparator" w:id="0">
    <w:p w:rsidR="002F451A" w:rsidRDefault="002F451A" w:rsidP="00137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266"/>
    <w:multiLevelType w:val="hybridMultilevel"/>
    <w:tmpl w:val="DCB0C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18E8"/>
    <w:multiLevelType w:val="hybridMultilevel"/>
    <w:tmpl w:val="0A2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306EC0">
      <w:start w:val="4"/>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D4673"/>
    <w:multiLevelType w:val="hybridMultilevel"/>
    <w:tmpl w:val="7D18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13ADB"/>
    <w:multiLevelType w:val="hybridMultilevel"/>
    <w:tmpl w:val="4634C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DD5F93"/>
    <w:multiLevelType w:val="hybridMultilevel"/>
    <w:tmpl w:val="8F4E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37648"/>
    <w:multiLevelType w:val="hybridMultilevel"/>
    <w:tmpl w:val="36A6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966C8"/>
    <w:multiLevelType w:val="hybridMultilevel"/>
    <w:tmpl w:val="AB10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B4206"/>
    <w:multiLevelType w:val="hybridMultilevel"/>
    <w:tmpl w:val="A0AC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E2043"/>
    <w:multiLevelType w:val="hybridMultilevel"/>
    <w:tmpl w:val="D06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34ECA"/>
    <w:multiLevelType w:val="hybridMultilevel"/>
    <w:tmpl w:val="C14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673F6"/>
    <w:multiLevelType w:val="hybridMultilevel"/>
    <w:tmpl w:val="6AD4C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0"/>
  </w:num>
  <w:num w:numId="6">
    <w:abstractNumId w:val="2"/>
  </w:num>
  <w:num w:numId="7">
    <w:abstractNumId w:val="8"/>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E8"/>
    <w:rsid w:val="001161CB"/>
    <w:rsid w:val="00122472"/>
    <w:rsid w:val="0012387B"/>
    <w:rsid w:val="00124AFE"/>
    <w:rsid w:val="00137892"/>
    <w:rsid w:val="00152842"/>
    <w:rsid w:val="0017356C"/>
    <w:rsid w:val="001C7C93"/>
    <w:rsid w:val="001D601E"/>
    <w:rsid w:val="001E6591"/>
    <w:rsid w:val="00200343"/>
    <w:rsid w:val="00234ACA"/>
    <w:rsid w:val="002A1EDE"/>
    <w:rsid w:val="002A2BBB"/>
    <w:rsid w:val="002E645D"/>
    <w:rsid w:val="002F451A"/>
    <w:rsid w:val="00313174"/>
    <w:rsid w:val="0034604F"/>
    <w:rsid w:val="00346AD3"/>
    <w:rsid w:val="003A5045"/>
    <w:rsid w:val="004346A8"/>
    <w:rsid w:val="00471FB7"/>
    <w:rsid w:val="00533E3B"/>
    <w:rsid w:val="00537B7F"/>
    <w:rsid w:val="00615DE5"/>
    <w:rsid w:val="006446B8"/>
    <w:rsid w:val="00675BDA"/>
    <w:rsid w:val="006934A5"/>
    <w:rsid w:val="0069629E"/>
    <w:rsid w:val="006A3A5C"/>
    <w:rsid w:val="006B4BBF"/>
    <w:rsid w:val="006C3F6B"/>
    <w:rsid w:val="0072784D"/>
    <w:rsid w:val="00754945"/>
    <w:rsid w:val="008412A4"/>
    <w:rsid w:val="00854B67"/>
    <w:rsid w:val="008816E0"/>
    <w:rsid w:val="00884FC8"/>
    <w:rsid w:val="009B1B65"/>
    <w:rsid w:val="009D0766"/>
    <w:rsid w:val="009F0EE8"/>
    <w:rsid w:val="00A64BB3"/>
    <w:rsid w:val="00B13793"/>
    <w:rsid w:val="00B814F7"/>
    <w:rsid w:val="00C43162"/>
    <w:rsid w:val="00C85209"/>
    <w:rsid w:val="00CB6379"/>
    <w:rsid w:val="00CE02B7"/>
    <w:rsid w:val="00D01960"/>
    <w:rsid w:val="00D55CC0"/>
    <w:rsid w:val="00D80FBA"/>
    <w:rsid w:val="00DB7893"/>
    <w:rsid w:val="00E06924"/>
    <w:rsid w:val="00E75DD4"/>
    <w:rsid w:val="00EE128F"/>
    <w:rsid w:val="00FC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60"/>
    <w:pPr>
      <w:ind w:left="720"/>
      <w:contextualSpacing/>
    </w:pPr>
  </w:style>
  <w:style w:type="character" w:styleId="Hyperlink">
    <w:name w:val="Hyperlink"/>
    <w:basedOn w:val="DefaultParagraphFont"/>
    <w:uiPriority w:val="99"/>
    <w:unhideWhenUsed/>
    <w:rsid w:val="00D01960"/>
    <w:rPr>
      <w:color w:val="0000FF" w:themeColor="hyperlink"/>
      <w:u w:val="single"/>
    </w:rPr>
  </w:style>
  <w:style w:type="paragraph" w:styleId="NormalWeb">
    <w:name w:val="Normal (Web)"/>
    <w:basedOn w:val="Normal"/>
    <w:uiPriority w:val="99"/>
    <w:unhideWhenUsed/>
    <w:rsid w:val="00DB789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893"/>
  </w:style>
  <w:style w:type="paragraph" w:styleId="Header">
    <w:name w:val="header"/>
    <w:basedOn w:val="Normal"/>
    <w:link w:val="HeaderChar"/>
    <w:uiPriority w:val="99"/>
    <w:unhideWhenUsed/>
    <w:rsid w:val="00137892"/>
    <w:pPr>
      <w:tabs>
        <w:tab w:val="center" w:pos="4680"/>
        <w:tab w:val="right" w:pos="9360"/>
      </w:tabs>
    </w:pPr>
  </w:style>
  <w:style w:type="character" w:customStyle="1" w:styleId="HeaderChar">
    <w:name w:val="Header Char"/>
    <w:basedOn w:val="DefaultParagraphFont"/>
    <w:link w:val="Header"/>
    <w:uiPriority w:val="99"/>
    <w:rsid w:val="00137892"/>
  </w:style>
  <w:style w:type="paragraph" w:styleId="Footer">
    <w:name w:val="footer"/>
    <w:basedOn w:val="Normal"/>
    <w:link w:val="FooterChar"/>
    <w:uiPriority w:val="99"/>
    <w:unhideWhenUsed/>
    <w:rsid w:val="00137892"/>
    <w:pPr>
      <w:tabs>
        <w:tab w:val="center" w:pos="4680"/>
        <w:tab w:val="right" w:pos="9360"/>
      </w:tabs>
    </w:pPr>
  </w:style>
  <w:style w:type="character" w:customStyle="1" w:styleId="FooterChar">
    <w:name w:val="Footer Char"/>
    <w:basedOn w:val="DefaultParagraphFont"/>
    <w:link w:val="Footer"/>
    <w:uiPriority w:val="99"/>
    <w:rsid w:val="00137892"/>
  </w:style>
  <w:style w:type="paragraph" w:styleId="BalloonText">
    <w:name w:val="Balloon Text"/>
    <w:basedOn w:val="Normal"/>
    <w:link w:val="BalloonTextChar"/>
    <w:uiPriority w:val="99"/>
    <w:semiHidden/>
    <w:unhideWhenUsed/>
    <w:rsid w:val="00152842"/>
    <w:rPr>
      <w:rFonts w:ascii="Tahoma" w:hAnsi="Tahoma" w:cs="Tahoma"/>
      <w:sz w:val="16"/>
      <w:szCs w:val="16"/>
    </w:rPr>
  </w:style>
  <w:style w:type="character" w:customStyle="1" w:styleId="BalloonTextChar">
    <w:name w:val="Balloon Text Char"/>
    <w:basedOn w:val="DefaultParagraphFont"/>
    <w:link w:val="BalloonText"/>
    <w:uiPriority w:val="99"/>
    <w:semiHidden/>
    <w:rsid w:val="00152842"/>
    <w:rPr>
      <w:rFonts w:ascii="Tahoma" w:hAnsi="Tahoma" w:cs="Tahoma"/>
      <w:sz w:val="16"/>
      <w:szCs w:val="16"/>
    </w:rPr>
  </w:style>
  <w:style w:type="paragraph" w:styleId="FootnoteText">
    <w:name w:val="footnote text"/>
    <w:basedOn w:val="Normal"/>
    <w:link w:val="FootnoteTextChar"/>
    <w:uiPriority w:val="99"/>
    <w:semiHidden/>
    <w:unhideWhenUsed/>
    <w:rsid w:val="00313174"/>
    <w:rPr>
      <w:sz w:val="20"/>
      <w:szCs w:val="20"/>
    </w:rPr>
  </w:style>
  <w:style w:type="character" w:customStyle="1" w:styleId="FootnoteTextChar">
    <w:name w:val="Footnote Text Char"/>
    <w:basedOn w:val="DefaultParagraphFont"/>
    <w:link w:val="FootnoteText"/>
    <w:uiPriority w:val="99"/>
    <w:semiHidden/>
    <w:rsid w:val="00313174"/>
    <w:rPr>
      <w:sz w:val="20"/>
      <w:szCs w:val="20"/>
    </w:rPr>
  </w:style>
  <w:style w:type="character" w:styleId="FootnoteReference">
    <w:name w:val="footnote reference"/>
    <w:basedOn w:val="DefaultParagraphFont"/>
    <w:uiPriority w:val="99"/>
    <w:semiHidden/>
    <w:unhideWhenUsed/>
    <w:rsid w:val="00313174"/>
    <w:rPr>
      <w:vertAlign w:val="superscript"/>
    </w:rPr>
  </w:style>
  <w:style w:type="character" w:styleId="FollowedHyperlink">
    <w:name w:val="FollowedHyperlink"/>
    <w:basedOn w:val="DefaultParagraphFont"/>
    <w:uiPriority w:val="99"/>
    <w:semiHidden/>
    <w:unhideWhenUsed/>
    <w:rsid w:val="006962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60"/>
    <w:pPr>
      <w:ind w:left="720"/>
      <w:contextualSpacing/>
    </w:pPr>
  </w:style>
  <w:style w:type="character" w:styleId="Hyperlink">
    <w:name w:val="Hyperlink"/>
    <w:basedOn w:val="DefaultParagraphFont"/>
    <w:uiPriority w:val="99"/>
    <w:unhideWhenUsed/>
    <w:rsid w:val="00D01960"/>
    <w:rPr>
      <w:color w:val="0000FF" w:themeColor="hyperlink"/>
      <w:u w:val="single"/>
    </w:rPr>
  </w:style>
  <w:style w:type="paragraph" w:styleId="NormalWeb">
    <w:name w:val="Normal (Web)"/>
    <w:basedOn w:val="Normal"/>
    <w:uiPriority w:val="99"/>
    <w:unhideWhenUsed/>
    <w:rsid w:val="00DB789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893"/>
  </w:style>
  <w:style w:type="paragraph" w:styleId="Header">
    <w:name w:val="header"/>
    <w:basedOn w:val="Normal"/>
    <w:link w:val="HeaderChar"/>
    <w:uiPriority w:val="99"/>
    <w:unhideWhenUsed/>
    <w:rsid w:val="00137892"/>
    <w:pPr>
      <w:tabs>
        <w:tab w:val="center" w:pos="4680"/>
        <w:tab w:val="right" w:pos="9360"/>
      </w:tabs>
    </w:pPr>
  </w:style>
  <w:style w:type="character" w:customStyle="1" w:styleId="HeaderChar">
    <w:name w:val="Header Char"/>
    <w:basedOn w:val="DefaultParagraphFont"/>
    <w:link w:val="Header"/>
    <w:uiPriority w:val="99"/>
    <w:rsid w:val="00137892"/>
  </w:style>
  <w:style w:type="paragraph" w:styleId="Footer">
    <w:name w:val="footer"/>
    <w:basedOn w:val="Normal"/>
    <w:link w:val="FooterChar"/>
    <w:uiPriority w:val="99"/>
    <w:unhideWhenUsed/>
    <w:rsid w:val="00137892"/>
    <w:pPr>
      <w:tabs>
        <w:tab w:val="center" w:pos="4680"/>
        <w:tab w:val="right" w:pos="9360"/>
      </w:tabs>
    </w:pPr>
  </w:style>
  <w:style w:type="character" w:customStyle="1" w:styleId="FooterChar">
    <w:name w:val="Footer Char"/>
    <w:basedOn w:val="DefaultParagraphFont"/>
    <w:link w:val="Footer"/>
    <w:uiPriority w:val="99"/>
    <w:rsid w:val="00137892"/>
  </w:style>
  <w:style w:type="paragraph" w:styleId="BalloonText">
    <w:name w:val="Balloon Text"/>
    <w:basedOn w:val="Normal"/>
    <w:link w:val="BalloonTextChar"/>
    <w:uiPriority w:val="99"/>
    <w:semiHidden/>
    <w:unhideWhenUsed/>
    <w:rsid w:val="00152842"/>
    <w:rPr>
      <w:rFonts w:ascii="Tahoma" w:hAnsi="Tahoma" w:cs="Tahoma"/>
      <w:sz w:val="16"/>
      <w:szCs w:val="16"/>
    </w:rPr>
  </w:style>
  <w:style w:type="character" w:customStyle="1" w:styleId="BalloonTextChar">
    <w:name w:val="Balloon Text Char"/>
    <w:basedOn w:val="DefaultParagraphFont"/>
    <w:link w:val="BalloonText"/>
    <w:uiPriority w:val="99"/>
    <w:semiHidden/>
    <w:rsid w:val="00152842"/>
    <w:rPr>
      <w:rFonts w:ascii="Tahoma" w:hAnsi="Tahoma" w:cs="Tahoma"/>
      <w:sz w:val="16"/>
      <w:szCs w:val="16"/>
    </w:rPr>
  </w:style>
  <w:style w:type="paragraph" w:styleId="FootnoteText">
    <w:name w:val="footnote text"/>
    <w:basedOn w:val="Normal"/>
    <w:link w:val="FootnoteTextChar"/>
    <w:uiPriority w:val="99"/>
    <w:semiHidden/>
    <w:unhideWhenUsed/>
    <w:rsid w:val="00313174"/>
    <w:rPr>
      <w:sz w:val="20"/>
      <w:szCs w:val="20"/>
    </w:rPr>
  </w:style>
  <w:style w:type="character" w:customStyle="1" w:styleId="FootnoteTextChar">
    <w:name w:val="Footnote Text Char"/>
    <w:basedOn w:val="DefaultParagraphFont"/>
    <w:link w:val="FootnoteText"/>
    <w:uiPriority w:val="99"/>
    <w:semiHidden/>
    <w:rsid w:val="00313174"/>
    <w:rPr>
      <w:sz w:val="20"/>
      <w:szCs w:val="20"/>
    </w:rPr>
  </w:style>
  <w:style w:type="character" w:styleId="FootnoteReference">
    <w:name w:val="footnote reference"/>
    <w:basedOn w:val="DefaultParagraphFont"/>
    <w:uiPriority w:val="99"/>
    <w:semiHidden/>
    <w:unhideWhenUsed/>
    <w:rsid w:val="00313174"/>
    <w:rPr>
      <w:vertAlign w:val="superscript"/>
    </w:rPr>
  </w:style>
  <w:style w:type="character" w:styleId="FollowedHyperlink">
    <w:name w:val="FollowedHyperlink"/>
    <w:basedOn w:val="DefaultParagraphFont"/>
    <w:uiPriority w:val="99"/>
    <w:semiHidden/>
    <w:unhideWhenUsed/>
    <w:rsid w:val="00696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3i1kP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al.org/ss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ZZ2ji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11d3sVy" TargetMode="External"/><Relationship Id="rId4" Type="http://schemas.openxmlformats.org/officeDocument/2006/relationships/settings" Target="settings.xml"/><Relationship Id="rId9" Type="http://schemas.openxmlformats.org/officeDocument/2006/relationships/hyperlink" Target="http://bit.ly/11d3sV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2655</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jbrown</cp:lastModifiedBy>
  <cp:revision>14</cp:revision>
  <cp:lastPrinted>2013-04-20T14:10:00Z</cp:lastPrinted>
  <dcterms:created xsi:type="dcterms:W3CDTF">2013-04-17T22:23:00Z</dcterms:created>
  <dcterms:modified xsi:type="dcterms:W3CDTF">2013-04-20T14:16:00Z</dcterms:modified>
</cp:coreProperties>
</file>